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88595" w14:textId="77777777" w:rsidR="00A04AF7" w:rsidRPr="007C7D72" w:rsidRDefault="00A04AF7" w:rsidP="008778A8">
      <w:pPr>
        <w:jc w:val="center"/>
        <w:rPr>
          <w:rFonts w:ascii="Times New Roman" w:hAnsi="Times New Roman" w:cs="Times New Roman"/>
          <w:b/>
          <w:bCs/>
          <w:sz w:val="24"/>
          <w:szCs w:val="24"/>
        </w:rPr>
      </w:pPr>
      <w:bookmarkStart w:id="0" w:name="_Hlk216084840"/>
      <w:bookmarkEnd w:id="0"/>
      <w:r w:rsidRPr="007C7D72">
        <w:rPr>
          <w:rFonts w:ascii="Times New Roman" w:hAnsi="Times New Roman" w:cs="Times New Roman"/>
          <w:b/>
          <w:bCs/>
          <w:sz w:val="24"/>
          <w:szCs w:val="24"/>
        </w:rPr>
        <w:t>Jan Swasthya Abhityan</w:t>
      </w:r>
    </w:p>
    <w:p w14:paraId="29D4A0FD" w14:textId="77777777" w:rsidR="00A04AF7" w:rsidRPr="007C7D72" w:rsidRDefault="00A04AF7" w:rsidP="008778A8">
      <w:pPr>
        <w:jc w:val="center"/>
        <w:rPr>
          <w:rFonts w:ascii="Times New Roman" w:hAnsi="Times New Roman" w:cs="Times New Roman"/>
          <w:b/>
          <w:bCs/>
          <w:sz w:val="24"/>
          <w:szCs w:val="24"/>
        </w:rPr>
      </w:pPr>
      <w:r w:rsidRPr="007C7D72">
        <w:rPr>
          <w:rFonts w:ascii="Times New Roman" w:hAnsi="Times New Roman" w:cs="Times New Roman"/>
          <w:b/>
          <w:bCs/>
          <w:sz w:val="24"/>
          <w:szCs w:val="24"/>
        </w:rPr>
        <w:t xml:space="preserve">National Convention </w:t>
      </w:r>
    </w:p>
    <w:p w14:paraId="56C43C3F" w14:textId="77777777" w:rsidR="00A04AF7" w:rsidRPr="007C7D72" w:rsidRDefault="00A04AF7" w:rsidP="008778A8">
      <w:pPr>
        <w:jc w:val="center"/>
        <w:rPr>
          <w:rFonts w:ascii="Times New Roman" w:hAnsi="Times New Roman" w:cs="Times New Roman"/>
          <w:b/>
          <w:bCs/>
          <w:sz w:val="24"/>
          <w:szCs w:val="24"/>
        </w:rPr>
      </w:pPr>
      <w:r w:rsidRPr="007C7D72">
        <w:rPr>
          <w:rFonts w:ascii="Times New Roman" w:hAnsi="Times New Roman" w:cs="Times New Roman"/>
          <w:b/>
          <w:bCs/>
          <w:sz w:val="24"/>
          <w:szCs w:val="24"/>
        </w:rPr>
        <w:t>December 11-12, 2025, New Delhi</w:t>
      </w:r>
    </w:p>
    <w:p w14:paraId="092EC61F" w14:textId="77777777" w:rsidR="00A04AF7" w:rsidRPr="007C7D72" w:rsidRDefault="00A04AF7" w:rsidP="008778A8">
      <w:pPr>
        <w:jc w:val="center"/>
        <w:rPr>
          <w:rFonts w:ascii="Times New Roman" w:hAnsi="Times New Roman" w:cs="Times New Roman"/>
          <w:b/>
          <w:bCs/>
          <w:sz w:val="24"/>
          <w:szCs w:val="24"/>
        </w:rPr>
      </w:pPr>
    </w:p>
    <w:p w14:paraId="489AEEB2" w14:textId="41482E8E" w:rsidR="00373C55" w:rsidRPr="007C7D72" w:rsidRDefault="00C02B4F" w:rsidP="008778A8">
      <w:pPr>
        <w:jc w:val="center"/>
        <w:rPr>
          <w:rFonts w:ascii="Times New Roman" w:hAnsi="Times New Roman" w:cs="Times New Roman"/>
          <w:b/>
          <w:bCs/>
          <w:sz w:val="24"/>
          <w:szCs w:val="24"/>
        </w:rPr>
      </w:pPr>
      <w:r w:rsidRPr="007C7D72">
        <w:rPr>
          <w:rFonts w:ascii="Times New Roman" w:hAnsi="Times New Roman" w:cs="Times New Roman"/>
          <w:b/>
          <w:bCs/>
          <w:sz w:val="24"/>
          <w:szCs w:val="24"/>
        </w:rPr>
        <w:t xml:space="preserve">Health </w:t>
      </w:r>
      <w:r w:rsidR="008778A8" w:rsidRPr="007C7D72">
        <w:rPr>
          <w:rFonts w:ascii="Times New Roman" w:hAnsi="Times New Roman" w:cs="Times New Roman"/>
          <w:b/>
          <w:bCs/>
          <w:sz w:val="24"/>
          <w:szCs w:val="24"/>
        </w:rPr>
        <w:t>Financing Thematic Session</w:t>
      </w:r>
    </w:p>
    <w:p w14:paraId="10ED5718" w14:textId="6C56C0C5" w:rsidR="008778A8" w:rsidRPr="007C7D72" w:rsidRDefault="008778A8" w:rsidP="008778A8">
      <w:pPr>
        <w:jc w:val="center"/>
        <w:rPr>
          <w:rFonts w:ascii="Times New Roman" w:hAnsi="Times New Roman" w:cs="Times New Roman"/>
          <w:b/>
          <w:bCs/>
          <w:sz w:val="24"/>
          <w:szCs w:val="24"/>
        </w:rPr>
      </w:pPr>
      <w:r w:rsidRPr="007C7D72">
        <w:rPr>
          <w:rFonts w:ascii="Times New Roman" w:hAnsi="Times New Roman" w:cs="Times New Roman"/>
          <w:b/>
          <w:bCs/>
          <w:sz w:val="24"/>
          <w:szCs w:val="24"/>
        </w:rPr>
        <w:t>Concept Note</w:t>
      </w:r>
    </w:p>
    <w:p w14:paraId="0DB337E1" w14:textId="77777777" w:rsidR="008778A8" w:rsidRPr="007C7D72" w:rsidRDefault="008778A8" w:rsidP="008778A8">
      <w:pPr>
        <w:jc w:val="center"/>
        <w:rPr>
          <w:rFonts w:ascii="Times New Roman" w:hAnsi="Times New Roman" w:cs="Times New Roman"/>
          <w:sz w:val="24"/>
          <w:szCs w:val="24"/>
        </w:rPr>
      </w:pPr>
    </w:p>
    <w:p w14:paraId="79B7B70E" w14:textId="77777777" w:rsidR="008778A8" w:rsidRPr="007C7D72" w:rsidRDefault="008778A8" w:rsidP="008778A8">
      <w:pPr>
        <w:jc w:val="both"/>
        <w:rPr>
          <w:rFonts w:ascii="Times New Roman" w:hAnsi="Times New Roman" w:cs="Times New Roman"/>
          <w:sz w:val="24"/>
          <w:szCs w:val="24"/>
        </w:rPr>
      </w:pPr>
    </w:p>
    <w:p w14:paraId="183F18BE" w14:textId="77777777" w:rsidR="00466B83" w:rsidRPr="007C7D72" w:rsidRDefault="002808FC" w:rsidP="00ED2583">
      <w:pPr>
        <w:jc w:val="both"/>
        <w:rPr>
          <w:rFonts w:ascii="Times New Roman" w:hAnsi="Times New Roman" w:cs="Times New Roman"/>
          <w:sz w:val="24"/>
          <w:szCs w:val="24"/>
        </w:rPr>
      </w:pPr>
      <w:r w:rsidRPr="007C7D72">
        <w:rPr>
          <w:rFonts w:ascii="Times New Roman" w:hAnsi="Times New Roman" w:cs="Times New Roman"/>
          <w:sz w:val="24"/>
          <w:szCs w:val="24"/>
        </w:rPr>
        <w:t xml:space="preserve">India’s health system is </w:t>
      </w:r>
      <w:r w:rsidR="009B1C45" w:rsidRPr="007C7D72">
        <w:rPr>
          <w:rFonts w:ascii="Times New Roman" w:hAnsi="Times New Roman" w:cs="Times New Roman"/>
          <w:sz w:val="24"/>
          <w:szCs w:val="24"/>
        </w:rPr>
        <w:t>ailing</w:t>
      </w:r>
      <w:r w:rsidR="00856605" w:rsidRPr="007C7D72">
        <w:rPr>
          <w:rFonts w:ascii="Times New Roman" w:hAnsi="Times New Roman" w:cs="Times New Roman"/>
          <w:sz w:val="24"/>
          <w:szCs w:val="24"/>
        </w:rPr>
        <w:t xml:space="preserve"> today</w:t>
      </w:r>
      <w:r w:rsidR="0096044A" w:rsidRPr="007C7D72">
        <w:rPr>
          <w:rFonts w:ascii="Times New Roman" w:hAnsi="Times New Roman" w:cs="Times New Roman"/>
          <w:sz w:val="24"/>
          <w:szCs w:val="24"/>
        </w:rPr>
        <w:t xml:space="preserve">. </w:t>
      </w:r>
      <w:r w:rsidR="00523FAF" w:rsidRPr="007C7D72">
        <w:rPr>
          <w:rFonts w:ascii="Times New Roman" w:hAnsi="Times New Roman" w:cs="Times New Roman"/>
          <w:sz w:val="24"/>
          <w:szCs w:val="24"/>
        </w:rPr>
        <w:t xml:space="preserve">The health workers </w:t>
      </w:r>
      <w:r w:rsidR="00FE5FA8" w:rsidRPr="007C7D72">
        <w:rPr>
          <w:rFonts w:ascii="Times New Roman" w:hAnsi="Times New Roman" w:cs="Times New Roman"/>
          <w:sz w:val="24"/>
          <w:szCs w:val="24"/>
        </w:rPr>
        <w:t xml:space="preserve">face difficult work conditions and less remuneration. </w:t>
      </w:r>
      <w:r w:rsidR="00815194" w:rsidRPr="007C7D72">
        <w:rPr>
          <w:rFonts w:ascii="Times New Roman" w:hAnsi="Times New Roman" w:cs="Times New Roman"/>
          <w:sz w:val="24"/>
          <w:szCs w:val="24"/>
        </w:rPr>
        <w:t xml:space="preserve">The frontline health workers are still fighting for minimum wages and decent working conditions. </w:t>
      </w:r>
      <w:r w:rsidR="00C0666A" w:rsidRPr="007C7D72">
        <w:rPr>
          <w:rFonts w:ascii="Times New Roman" w:hAnsi="Times New Roman" w:cs="Times New Roman"/>
          <w:sz w:val="24"/>
          <w:szCs w:val="24"/>
        </w:rPr>
        <w:t xml:space="preserve">The shortage of human resources </w:t>
      </w:r>
      <w:r w:rsidR="00856605" w:rsidRPr="007C7D72">
        <w:rPr>
          <w:rFonts w:ascii="Times New Roman" w:hAnsi="Times New Roman" w:cs="Times New Roman"/>
          <w:sz w:val="24"/>
          <w:szCs w:val="24"/>
        </w:rPr>
        <w:t xml:space="preserve">for health </w:t>
      </w:r>
      <w:r w:rsidR="00C0666A" w:rsidRPr="007C7D72">
        <w:rPr>
          <w:rFonts w:ascii="Times New Roman" w:hAnsi="Times New Roman" w:cs="Times New Roman"/>
          <w:sz w:val="24"/>
          <w:szCs w:val="24"/>
        </w:rPr>
        <w:t xml:space="preserve">is widespread across States. </w:t>
      </w:r>
      <w:r w:rsidR="00A54F0A" w:rsidRPr="007C7D72">
        <w:rPr>
          <w:rFonts w:ascii="Times New Roman" w:hAnsi="Times New Roman" w:cs="Times New Roman"/>
          <w:sz w:val="24"/>
          <w:szCs w:val="24"/>
        </w:rPr>
        <w:t xml:space="preserve">The health infrastructure is dilapidated in many States and people at large are struggling to </w:t>
      </w:r>
      <w:r w:rsidR="00F4034D" w:rsidRPr="007C7D72">
        <w:rPr>
          <w:rFonts w:ascii="Times New Roman" w:hAnsi="Times New Roman" w:cs="Times New Roman"/>
          <w:sz w:val="24"/>
          <w:szCs w:val="24"/>
        </w:rPr>
        <w:t xml:space="preserve">reach well-functioning health centres. Medicines </w:t>
      </w:r>
      <w:r w:rsidR="00AA0EF6" w:rsidRPr="007C7D72">
        <w:rPr>
          <w:rFonts w:ascii="Times New Roman" w:hAnsi="Times New Roman" w:cs="Times New Roman"/>
          <w:sz w:val="24"/>
          <w:szCs w:val="24"/>
        </w:rPr>
        <w:t>are priced exorbitantly and many are out of reach of people due to high prices.</w:t>
      </w:r>
      <w:r w:rsidR="00025372" w:rsidRPr="007C7D72">
        <w:rPr>
          <w:rFonts w:ascii="Times New Roman" w:hAnsi="Times New Roman" w:cs="Times New Roman"/>
          <w:sz w:val="24"/>
          <w:szCs w:val="24"/>
        </w:rPr>
        <w:t xml:space="preserve"> </w:t>
      </w:r>
    </w:p>
    <w:p w14:paraId="1DD8BD6A" w14:textId="77777777" w:rsidR="00466B83" w:rsidRPr="007C7D72" w:rsidRDefault="00466B83" w:rsidP="00ED2583">
      <w:pPr>
        <w:jc w:val="both"/>
        <w:rPr>
          <w:rFonts w:ascii="Times New Roman" w:hAnsi="Times New Roman" w:cs="Times New Roman"/>
          <w:sz w:val="24"/>
          <w:szCs w:val="24"/>
        </w:rPr>
      </w:pPr>
    </w:p>
    <w:p w14:paraId="186F3E7A" w14:textId="47A4F1B0" w:rsidR="00BA7B28" w:rsidRPr="007C7D72" w:rsidRDefault="007F5479" w:rsidP="00ED2583">
      <w:pPr>
        <w:jc w:val="both"/>
        <w:rPr>
          <w:rFonts w:ascii="Times New Roman" w:hAnsi="Times New Roman" w:cs="Times New Roman"/>
          <w:sz w:val="24"/>
          <w:szCs w:val="24"/>
        </w:rPr>
      </w:pPr>
      <w:r w:rsidRPr="007C7D72">
        <w:rPr>
          <w:rFonts w:ascii="Times New Roman" w:hAnsi="Times New Roman" w:cs="Times New Roman"/>
          <w:sz w:val="24"/>
          <w:szCs w:val="24"/>
        </w:rPr>
        <w:t xml:space="preserve">After the harrowing experience during the COVID-19 pandemic, people </w:t>
      </w:r>
      <w:r w:rsidR="00224B66" w:rsidRPr="007C7D72">
        <w:rPr>
          <w:rFonts w:ascii="Times New Roman" w:hAnsi="Times New Roman" w:cs="Times New Roman"/>
          <w:sz w:val="24"/>
          <w:szCs w:val="24"/>
        </w:rPr>
        <w:t xml:space="preserve">expected </w:t>
      </w:r>
      <w:r w:rsidR="00F70013" w:rsidRPr="007C7D72">
        <w:rPr>
          <w:rFonts w:ascii="Times New Roman" w:hAnsi="Times New Roman" w:cs="Times New Roman"/>
          <w:sz w:val="24"/>
          <w:szCs w:val="24"/>
        </w:rPr>
        <w:t xml:space="preserve">that the government will </w:t>
      </w:r>
      <w:r w:rsidR="007E7D3C" w:rsidRPr="007C7D72">
        <w:rPr>
          <w:rFonts w:ascii="Times New Roman" w:hAnsi="Times New Roman" w:cs="Times New Roman"/>
          <w:sz w:val="24"/>
          <w:szCs w:val="24"/>
        </w:rPr>
        <w:t>realise the need for strengthening the public health system and invest in</w:t>
      </w:r>
      <w:r w:rsidR="00FF04F6" w:rsidRPr="007C7D72">
        <w:rPr>
          <w:rFonts w:ascii="Times New Roman" w:hAnsi="Times New Roman" w:cs="Times New Roman"/>
          <w:sz w:val="24"/>
          <w:szCs w:val="24"/>
        </w:rPr>
        <w:t xml:space="preserve"> it. However, what we witness since then is a general decline in public spending on health</w:t>
      </w:r>
      <w:r w:rsidR="0083682C" w:rsidRPr="007C7D72">
        <w:rPr>
          <w:rFonts w:ascii="Times New Roman" w:hAnsi="Times New Roman" w:cs="Times New Roman"/>
          <w:sz w:val="24"/>
          <w:szCs w:val="24"/>
        </w:rPr>
        <w:t xml:space="preserve">, a neglect of primary healthcare, </w:t>
      </w:r>
      <w:r w:rsidR="00FF04F6" w:rsidRPr="007C7D72">
        <w:rPr>
          <w:rFonts w:ascii="Times New Roman" w:hAnsi="Times New Roman" w:cs="Times New Roman"/>
          <w:sz w:val="24"/>
          <w:szCs w:val="24"/>
        </w:rPr>
        <w:t>and</w:t>
      </w:r>
      <w:r w:rsidR="0083682C" w:rsidRPr="007C7D72">
        <w:rPr>
          <w:rFonts w:ascii="Times New Roman" w:hAnsi="Times New Roman" w:cs="Times New Roman"/>
          <w:sz w:val="24"/>
          <w:szCs w:val="24"/>
        </w:rPr>
        <w:t xml:space="preserve"> a renew</w:t>
      </w:r>
      <w:r w:rsidR="00E30D0A" w:rsidRPr="007C7D72">
        <w:rPr>
          <w:rFonts w:ascii="Times New Roman" w:hAnsi="Times New Roman" w:cs="Times New Roman"/>
          <w:sz w:val="24"/>
          <w:szCs w:val="24"/>
        </w:rPr>
        <w:t>e</w:t>
      </w:r>
      <w:r w:rsidR="0083682C" w:rsidRPr="007C7D72">
        <w:rPr>
          <w:rFonts w:ascii="Times New Roman" w:hAnsi="Times New Roman" w:cs="Times New Roman"/>
          <w:sz w:val="24"/>
          <w:szCs w:val="24"/>
        </w:rPr>
        <w:t xml:space="preserve">d </w:t>
      </w:r>
      <w:r w:rsidR="00E30D0A" w:rsidRPr="007C7D72">
        <w:rPr>
          <w:rFonts w:ascii="Times New Roman" w:hAnsi="Times New Roman" w:cs="Times New Roman"/>
          <w:sz w:val="24"/>
          <w:szCs w:val="24"/>
        </w:rPr>
        <w:t xml:space="preserve">push towards privatising the health sector with the recent spree of privatisation of district hospitals across various states. </w:t>
      </w:r>
    </w:p>
    <w:p w14:paraId="4F89401A" w14:textId="77777777" w:rsidR="00466B83" w:rsidRPr="007C7D72" w:rsidRDefault="00BA7B28" w:rsidP="00466B83">
      <w:pPr>
        <w:spacing w:before="200" w:line="240" w:lineRule="auto"/>
        <w:jc w:val="both"/>
        <w:rPr>
          <w:rFonts w:ascii="Times New Roman" w:hAnsi="Times New Roman" w:cs="Times New Roman"/>
          <w:sz w:val="24"/>
          <w:szCs w:val="24"/>
        </w:rPr>
      </w:pPr>
      <w:r w:rsidRPr="007C7D72">
        <w:rPr>
          <w:rFonts w:ascii="Times New Roman" w:eastAsia="Cambria" w:hAnsi="Times New Roman" w:cs="Times New Roman"/>
          <w:bCs/>
          <w:sz w:val="24"/>
          <w:szCs w:val="24"/>
        </w:rPr>
        <w:t>One of the necessary conditions for ensuring a robust health system is adequate allocation of public resources for the system. However, t</w:t>
      </w:r>
      <w:r w:rsidRPr="007C7D72">
        <w:rPr>
          <w:rFonts w:ascii="Times New Roman" w:hAnsi="Times New Roman" w:cs="Times New Roman"/>
          <w:sz w:val="24"/>
          <w:szCs w:val="24"/>
        </w:rPr>
        <w:t xml:space="preserve">he public health spending in India is among the lowest in the world, while out of pocket spending remains unacceptably high. The public health expenditure has been consistently low for years, hovering around the 1.1% of GDP. The bulk of the total sending on health comes out of the pockets of the people. </w:t>
      </w:r>
    </w:p>
    <w:p w14:paraId="13B4A86F" w14:textId="77777777" w:rsidR="002E01F2" w:rsidRPr="007C7D72" w:rsidRDefault="002E01F2" w:rsidP="002E01F2">
      <w:pPr>
        <w:spacing w:before="120" w:after="120"/>
        <w:jc w:val="both"/>
        <w:rPr>
          <w:rFonts w:ascii="Times New Roman" w:hAnsi="Times New Roman" w:cs="Times New Roman"/>
          <w:b/>
          <w:bCs/>
          <w:sz w:val="24"/>
          <w:szCs w:val="24"/>
        </w:rPr>
      </w:pPr>
      <w:r w:rsidRPr="007C7D72">
        <w:rPr>
          <w:rFonts w:ascii="Times New Roman" w:hAnsi="Times New Roman" w:cs="Times New Roman"/>
          <w:b/>
          <w:bCs/>
          <w:sz w:val="24"/>
          <w:szCs w:val="24"/>
        </w:rPr>
        <w:t xml:space="preserve">Figure 1: Government Health Budget Expenditure as proportion of Total Government Expenditure </w:t>
      </w:r>
    </w:p>
    <w:p w14:paraId="14AE5E7A" w14:textId="77777777" w:rsidR="002E01F2" w:rsidRPr="007C7D72" w:rsidRDefault="002E01F2" w:rsidP="002E01F2">
      <w:pPr>
        <w:spacing w:before="120" w:after="120"/>
        <w:jc w:val="both"/>
        <w:rPr>
          <w:rFonts w:ascii="Times New Roman" w:hAnsi="Times New Roman" w:cs="Times New Roman"/>
          <w:sz w:val="24"/>
          <w:szCs w:val="24"/>
        </w:rPr>
      </w:pPr>
      <w:r w:rsidRPr="007C7D72">
        <w:rPr>
          <w:rFonts w:ascii="Times New Roman" w:hAnsi="Times New Roman" w:cs="Times New Roman"/>
          <w:noProof/>
          <w:sz w:val="24"/>
          <w:szCs w:val="24"/>
        </w:rPr>
        <w:drawing>
          <wp:inline distT="0" distB="0" distL="0" distR="0" wp14:anchorId="006B31FC" wp14:editId="0046ACD2">
            <wp:extent cx="6080760" cy="2499360"/>
            <wp:effectExtent l="0" t="0" r="15240" b="15240"/>
            <wp:docPr id="1" name="Chart 1">
              <a:extLst xmlns:a="http://schemas.openxmlformats.org/drawingml/2006/main">
                <a:ext uri="{FF2B5EF4-FFF2-40B4-BE49-F238E27FC236}">
                  <a16:creationId xmlns:a16="http://schemas.microsoft.com/office/drawing/2014/main" id="{2D4FCD24-4A4E-4B56-8768-B0A89B019F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FD1FAB" w14:textId="77777777" w:rsidR="002E01F2" w:rsidRPr="007C7D72" w:rsidRDefault="002E01F2" w:rsidP="00466B83">
      <w:pPr>
        <w:spacing w:before="200" w:line="240" w:lineRule="auto"/>
        <w:jc w:val="both"/>
        <w:rPr>
          <w:rFonts w:ascii="Times New Roman" w:hAnsi="Times New Roman" w:cs="Times New Roman"/>
          <w:sz w:val="24"/>
          <w:szCs w:val="24"/>
        </w:rPr>
      </w:pPr>
    </w:p>
    <w:p w14:paraId="6CBF08AC" w14:textId="7B358702" w:rsidR="00E30D0A" w:rsidRPr="007C7D72" w:rsidRDefault="00E30D0A" w:rsidP="00466B83">
      <w:pPr>
        <w:spacing w:before="200" w:line="240" w:lineRule="auto"/>
        <w:jc w:val="both"/>
        <w:rPr>
          <w:rFonts w:ascii="Times New Roman" w:hAnsi="Times New Roman" w:cs="Times New Roman"/>
          <w:sz w:val="24"/>
          <w:szCs w:val="24"/>
        </w:rPr>
      </w:pPr>
      <w:r w:rsidRPr="007C7D72">
        <w:rPr>
          <w:rFonts w:ascii="Times New Roman" w:hAnsi="Times New Roman" w:cs="Times New Roman"/>
          <w:sz w:val="24"/>
          <w:szCs w:val="24"/>
        </w:rPr>
        <w:lastRenderedPageBreak/>
        <w:t xml:space="preserve">There is also the </w:t>
      </w:r>
      <w:r w:rsidR="00392E95" w:rsidRPr="007C7D72">
        <w:rPr>
          <w:rFonts w:ascii="Times New Roman" w:hAnsi="Times New Roman" w:cs="Times New Roman"/>
          <w:sz w:val="24"/>
          <w:szCs w:val="24"/>
        </w:rPr>
        <w:t xml:space="preserve">increasing </w:t>
      </w:r>
      <w:r w:rsidRPr="007C7D72">
        <w:rPr>
          <w:rFonts w:ascii="Times New Roman" w:hAnsi="Times New Roman" w:cs="Times New Roman"/>
          <w:sz w:val="24"/>
          <w:szCs w:val="24"/>
        </w:rPr>
        <w:t xml:space="preserve">emphasis on </w:t>
      </w:r>
      <w:r w:rsidR="002B104D" w:rsidRPr="007C7D72">
        <w:rPr>
          <w:rFonts w:ascii="Times New Roman" w:hAnsi="Times New Roman" w:cs="Times New Roman"/>
          <w:sz w:val="24"/>
          <w:szCs w:val="24"/>
        </w:rPr>
        <w:t>government funded health insurance schemes</w:t>
      </w:r>
      <w:r w:rsidR="000F6EA8" w:rsidRPr="007C7D72">
        <w:rPr>
          <w:rFonts w:ascii="Times New Roman" w:hAnsi="Times New Roman" w:cs="Times New Roman"/>
          <w:sz w:val="24"/>
          <w:szCs w:val="24"/>
        </w:rPr>
        <w:t xml:space="preserve"> (GFHISs)</w:t>
      </w:r>
      <w:r w:rsidR="002B104D" w:rsidRPr="007C7D72">
        <w:rPr>
          <w:rFonts w:ascii="Times New Roman" w:hAnsi="Times New Roman" w:cs="Times New Roman"/>
          <w:sz w:val="24"/>
          <w:szCs w:val="24"/>
        </w:rPr>
        <w:t xml:space="preserve"> such as the Pradhan Mantri Jan Arogya Yojana (PMJAY)</w:t>
      </w:r>
      <w:r w:rsidR="00392E95" w:rsidRPr="007C7D72">
        <w:rPr>
          <w:rFonts w:ascii="Times New Roman" w:hAnsi="Times New Roman" w:cs="Times New Roman"/>
          <w:sz w:val="24"/>
          <w:szCs w:val="24"/>
        </w:rPr>
        <w:t>, which essentially operate by subsiding the private sector</w:t>
      </w:r>
      <w:r w:rsidR="002326C5" w:rsidRPr="007C7D72">
        <w:rPr>
          <w:rFonts w:ascii="Times New Roman" w:hAnsi="Times New Roman" w:cs="Times New Roman"/>
          <w:sz w:val="24"/>
          <w:szCs w:val="24"/>
        </w:rPr>
        <w:t xml:space="preserve">. </w:t>
      </w:r>
    </w:p>
    <w:p w14:paraId="5591077F" w14:textId="0842E763" w:rsidR="006D5C2B" w:rsidRPr="007C7D72" w:rsidRDefault="0077572F" w:rsidP="00466B83">
      <w:pPr>
        <w:spacing w:before="200" w:line="240" w:lineRule="auto"/>
        <w:jc w:val="both"/>
        <w:rPr>
          <w:rFonts w:ascii="Times New Roman" w:hAnsi="Times New Roman" w:cs="Times New Roman"/>
          <w:sz w:val="24"/>
          <w:szCs w:val="24"/>
        </w:rPr>
      </w:pPr>
      <w:r w:rsidRPr="007C7D72">
        <w:rPr>
          <w:rFonts w:ascii="Times New Roman" w:hAnsi="Times New Roman" w:cs="Times New Roman"/>
          <w:sz w:val="24"/>
          <w:szCs w:val="24"/>
        </w:rPr>
        <w:t>A</w:t>
      </w:r>
      <w:r w:rsidR="002C4168" w:rsidRPr="007C7D72">
        <w:rPr>
          <w:rFonts w:ascii="Times New Roman" w:hAnsi="Times New Roman" w:cs="Times New Roman"/>
          <w:sz w:val="24"/>
          <w:szCs w:val="24"/>
        </w:rPr>
        <w:t xml:space="preserve"> look at the data for hospital admissions in the private sector under PMJAY from the start of the scheme in September 2018 shows that for the marginalised communities only a miniscule fraction of the total admissions </w:t>
      </w:r>
      <w:proofErr w:type="gramStart"/>
      <w:r w:rsidR="002C4168" w:rsidRPr="007C7D72">
        <w:rPr>
          <w:rFonts w:ascii="Times New Roman" w:hAnsi="Times New Roman" w:cs="Times New Roman"/>
          <w:sz w:val="24"/>
          <w:szCs w:val="24"/>
        </w:rPr>
        <w:t>were</w:t>
      </w:r>
      <w:proofErr w:type="gramEnd"/>
      <w:r w:rsidR="002C4168" w:rsidRPr="007C7D72">
        <w:rPr>
          <w:rFonts w:ascii="Times New Roman" w:hAnsi="Times New Roman" w:cs="Times New Roman"/>
          <w:sz w:val="24"/>
          <w:szCs w:val="24"/>
        </w:rPr>
        <w:t xml:space="preserve"> in the private sector. </w:t>
      </w:r>
      <w:r w:rsidR="006D5C2B" w:rsidRPr="007C7D72">
        <w:rPr>
          <w:rFonts w:ascii="Times New Roman" w:hAnsi="Times New Roman" w:cs="Times New Roman"/>
          <w:sz w:val="24"/>
          <w:szCs w:val="24"/>
        </w:rPr>
        <w:t>Of the poor Dalits who comprise 19.7% of total poor eligible for PMJAY, only 4% got admitted to private hospitals. Similarly, of the poor Tribal, who comprise 15.4% of the total poor eligible for PMJAY, only 1.6% got admitted to private hospitals.</w:t>
      </w:r>
    </w:p>
    <w:p w14:paraId="23A4AD42" w14:textId="77777777" w:rsidR="007C7D72" w:rsidRPr="007C7D72" w:rsidRDefault="007C7D72" w:rsidP="00201675">
      <w:pPr>
        <w:contextualSpacing/>
        <w:jc w:val="both"/>
        <w:rPr>
          <w:rFonts w:ascii="Times New Roman" w:hAnsi="Times New Roman" w:cs="Times New Roman"/>
          <w:b/>
          <w:bCs/>
          <w:sz w:val="24"/>
          <w:szCs w:val="24"/>
        </w:rPr>
      </w:pPr>
    </w:p>
    <w:p w14:paraId="7F2C4896" w14:textId="52D3D524" w:rsidR="00201675" w:rsidRPr="007C7D72" w:rsidRDefault="00201675" w:rsidP="00201675">
      <w:pPr>
        <w:contextualSpacing/>
        <w:jc w:val="both"/>
        <w:rPr>
          <w:rFonts w:ascii="Times New Roman" w:hAnsi="Times New Roman" w:cs="Times New Roman"/>
          <w:b/>
          <w:bCs/>
          <w:sz w:val="24"/>
          <w:szCs w:val="24"/>
        </w:rPr>
      </w:pPr>
      <w:r w:rsidRPr="007C7D72">
        <w:rPr>
          <w:rFonts w:ascii="Times New Roman" w:hAnsi="Times New Roman" w:cs="Times New Roman"/>
          <w:b/>
          <w:bCs/>
          <w:sz w:val="24"/>
          <w:szCs w:val="24"/>
        </w:rPr>
        <w:t>Figure</w:t>
      </w:r>
      <w:r w:rsidR="00074B40" w:rsidRPr="007C7D72">
        <w:rPr>
          <w:rFonts w:ascii="Times New Roman" w:hAnsi="Times New Roman" w:cs="Times New Roman"/>
          <w:b/>
          <w:bCs/>
          <w:sz w:val="24"/>
          <w:szCs w:val="24"/>
        </w:rPr>
        <w:t xml:space="preserve"> 2</w:t>
      </w:r>
      <w:r w:rsidRPr="007C7D72">
        <w:rPr>
          <w:rFonts w:ascii="Times New Roman" w:hAnsi="Times New Roman" w:cs="Times New Roman"/>
          <w:b/>
          <w:bCs/>
          <w:sz w:val="24"/>
          <w:szCs w:val="24"/>
        </w:rPr>
        <w:t>: Share of Poor Dalit and Tribal in Private Hospital Admissions under PMJAY vis-à-vis Share in Poor Eligible Population (%)</w:t>
      </w:r>
    </w:p>
    <w:p w14:paraId="60E991E9" w14:textId="77777777" w:rsidR="00201675" w:rsidRPr="007C7D72" w:rsidRDefault="00201675" w:rsidP="00201675">
      <w:pPr>
        <w:contextualSpacing/>
        <w:jc w:val="both"/>
        <w:rPr>
          <w:rFonts w:ascii="Times New Roman" w:hAnsi="Times New Roman" w:cs="Times New Roman"/>
          <w:b/>
          <w:bCs/>
          <w:sz w:val="24"/>
          <w:szCs w:val="24"/>
        </w:rPr>
      </w:pPr>
      <w:r w:rsidRPr="007C7D72">
        <w:rPr>
          <w:rFonts w:ascii="Times New Roman" w:hAnsi="Times New Roman" w:cs="Times New Roman"/>
          <w:noProof/>
          <w:sz w:val="24"/>
          <w:szCs w:val="24"/>
        </w:rPr>
        <w:drawing>
          <wp:inline distT="0" distB="0" distL="0" distR="0" wp14:anchorId="4996ECFE" wp14:editId="3EA6BE9D">
            <wp:extent cx="5669280" cy="2743200"/>
            <wp:effectExtent l="0" t="0" r="762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8F7560" w14:textId="77777777" w:rsidR="00201675" w:rsidRPr="007C7D72" w:rsidRDefault="00201675" w:rsidP="00201675">
      <w:pPr>
        <w:rPr>
          <w:rFonts w:ascii="Times New Roman" w:hAnsi="Times New Roman" w:cs="Times New Roman"/>
          <w:sz w:val="24"/>
          <w:szCs w:val="24"/>
        </w:rPr>
      </w:pPr>
    </w:p>
    <w:p w14:paraId="59B1BEBE" w14:textId="77777777" w:rsidR="004361BF" w:rsidRPr="007C7D72" w:rsidRDefault="00844BA7" w:rsidP="00844BA7">
      <w:pPr>
        <w:spacing w:before="240" w:after="240"/>
        <w:jc w:val="both"/>
        <w:rPr>
          <w:rFonts w:ascii="Times New Roman" w:eastAsia="Times New Roman" w:hAnsi="Times New Roman" w:cs="Times New Roman"/>
          <w:sz w:val="24"/>
          <w:szCs w:val="24"/>
        </w:rPr>
      </w:pPr>
      <w:r w:rsidRPr="007C7D72">
        <w:rPr>
          <w:rFonts w:ascii="Times New Roman" w:eastAsia="Times New Roman" w:hAnsi="Times New Roman" w:cs="Times New Roman"/>
          <w:sz w:val="24"/>
          <w:szCs w:val="24"/>
        </w:rPr>
        <w:t>The GFHI</w:t>
      </w:r>
      <w:r w:rsidR="000F6EA8" w:rsidRPr="007C7D72">
        <w:rPr>
          <w:rFonts w:ascii="Times New Roman" w:eastAsia="Times New Roman" w:hAnsi="Times New Roman" w:cs="Times New Roman"/>
          <w:sz w:val="24"/>
          <w:szCs w:val="24"/>
        </w:rPr>
        <w:t>Ss</w:t>
      </w:r>
      <w:r w:rsidRPr="007C7D72">
        <w:rPr>
          <w:rFonts w:ascii="Times New Roman" w:eastAsia="Times New Roman" w:hAnsi="Times New Roman" w:cs="Times New Roman"/>
          <w:sz w:val="24"/>
          <w:szCs w:val="24"/>
        </w:rPr>
        <w:t xml:space="preserve"> are also pushing </w:t>
      </w:r>
      <w:r w:rsidR="00972A4D" w:rsidRPr="007C7D72">
        <w:rPr>
          <w:rFonts w:ascii="Times New Roman" w:eastAsia="Times New Roman" w:hAnsi="Times New Roman" w:cs="Times New Roman"/>
          <w:sz w:val="24"/>
          <w:szCs w:val="24"/>
        </w:rPr>
        <w:t>people</w:t>
      </w:r>
      <w:r w:rsidRPr="007C7D72">
        <w:rPr>
          <w:rFonts w:ascii="Times New Roman" w:eastAsia="Times New Roman" w:hAnsi="Times New Roman" w:cs="Times New Roman"/>
          <w:sz w:val="24"/>
          <w:szCs w:val="24"/>
        </w:rPr>
        <w:t xml:space="preserve"> towards </w:t>
      </w:r>
      <w:proofErr w:type="spellStart"/>
      <w:r w:rsidRPr="007C7D72">
        <w:rPr>
          <w:rFonts w:ascii="Times New Roman" w:eastAsia="Times New Roman" w:hAnsi="Times New Roman" w:cs="Times New Roman"/>
          <w:sz w:val="24"/>
          <w:szCs w:val="24"/>
        </w:rPr>
        <w:t>tertiarisation</w:t>
      </w:r>
      <w:proofErr w:type="spellEnd"/>
      <w:r w:rsidRPr="007C7D72">
        <w:rPr>
          <w:rFonts w:ascii="Times New Roman" w:eastAsia="Times New Roman" w:hAnsi="Times New Roman" w:cs="Times New Roman"/>
          <w:sz w:val="24"/>
          <w:szCs w:val="24"/>
        </w:rPr>
        <w:t xml:space="preserve"> of healthcare and hence leading to escalation of costs. With greater complexity and hence wider information asymmetry, it becomes a fertile ground for exertion of monopoly power of the healthcare providers. Care that can be provided at a low resource setting by the general practitioner, gets pushed to a specialist. Conditions that can be treated with medication or simpler interventions get diverted towards complex surgical procedures. People who need only day-care service get induced towards hospital stays. </w:t>
      </w:r>
    </w:p>
    <w:p w14:paraId="57F4D3CD" w14:textId="71507545" w:rsidR="002A5420" w:rsidRPr="007C7D72" w:rsidRDefault="004361BF" w:rsidP="002A5420">
      <w:pPr>
        <w:spacing w:before="240" w:after="240"/>
        <w:jc w:val="both"/>
        <w:rPr>
          <w:rFonts w:ascii="Times New Roman" w:eastAsia="Times New Roman" w:hAnsi="Times New Roman" w:cs="Times New Roman"/>
          <w:sz w:val="24"/>
          <w:szCs w:val="24"/>
        </w:rPr>
      </w:pPr>
      <w:r w:rsidRPr="007C7D72">
        <w:rPr>
          <w:rFonts w:ascii="Times New Roman" w:eastAsia="Times New Roman" w:hAnsi="Times New Roman" w:cs="Times New Roman"/>
          <w:sz w:val="24"/>
          <w:szCs w:val="24"/>
        </w:rPr>
        <w:t xml:space="preserve">The avowed </w:t>
      </w:r>
      <w:r w:rsidR="000900CB" w:rsidRPr="007C7D72">
        <w:rPr>
          <w:rFonts w:ascii="Times New Roman" w:eastAsia="Times New Roman" w:hAnsi="Times New Roman" w:cs="Times New Roman"/>
          <w:sz w:val="24"/>
          <w:szCs w:val="24"/>
        </w:rPr>
        <w:t xml:space="preserve">argument </w:t>
      </w:r>
      <w:r w:rsidR="00A71980" w:rsidRPr="007C7D72">
        <w:rPr>
          <w:rFonts w:ascii="Times New Roman" w:eastAsia="Times New Roman" w:hAnsi="Times New Roman" w:cs="Times New Roman"/>
          <w:sz w:val="24"/>
          <w:szCs w:val="24"/>
        </w:rPr>
        <w:t xml:space="preserve">that is given in favour of </w:t>
      </w:r>
      <w:r w:rsidRPr="007C7D72">
        <w:rPr>
          <w:rFonts w:ascii="Times New Roman" w:eastAsia="Times New Roman" w:hAnsi="Times New Roman" w:cs="Times New Roman"/>
          <w:sz w:val="24"/>
          <w:szCs w:val="24"/>
        </w:rPr>
        <w:t xml:space="preserve">GFHIs </w:t>
      </w:r>
      <w:r w:rsidR="00A71980" w:rsidRPr="007C7D72">
        <w:rPr>
          <w:rFonts w:ascii="Times New Roman" w:eastAsia="Times New Roman" w:hAnsi="Times New Roman" w:cs="Times New Roman"/>
          <w:sz w:val="24"/>
          <w:szCs w:val="24"/>
        </w:rPr>
        <w:t xml:space="preserve">is </w:t>
      </w:r>
      <w:r w:rsidR="000900CB" w:rsidRPr="007C7D72">
        <w:rPr>
          <w:rFonts w:ascii="Times New Roman" w:eastAsia="Times New Roman" w:hAnsi="Times New Roman" w:cs="Times New Roman"/>
          <w:sz w:val="24"/>
          <w:szCs w:val="24"/>
        </w:rPr>
        <w:t xml:space="preserve">that these would </w:t>
      </w:r>
      <w:r w:rsidR="00570C1C" w:rsidRPr="007C7D72">
        <w:rPr>
          <w:rFonts w:ascii="Times New Roman" w:eastAsia="Times New Roman" w:hAnsi="Times New Roman" w:cs="Times New Roman"/>
          <w:sz w:val="24"/>
          <w:szCs w:val="24"/>
        </w:rPr>
        <w:t xml:space="preserve">curb catastrophic health expenditure incurred by the people. </w:t>
      </w:r>
      <w:r w:rsidR="00944489" w:rsidRPr="007C7D72">
        <w:rPr>
          <w:rFonts w:ascii="Times New Roman" w:eastAsia="Times New Roman" w:hAnsi="Times New Roman" w:cs="Times New Roman"/>
          <w:sz w:val="24"/>
          <w:szCs w:val="24"/>
        </w:rPr>
        <w:t xml:space="preserve">However, the evidence showed that in India they have not been able to fulfil this. </w:t>
      </w:r>
      <w:r w:rsidR="002A5420" w:rsidRPr="007C7D72">
        <w:rPr>
          <w:rFonts w:ascii="Times New Roman" w:eastAsia="Times New Roman" w:hAnsi="Times New Roman" w:cs="Times New Roman"/>
          <w:sz w:val="24"/>
          <w:szCs w:val="24"/>
        </w:rPr>
        <w:t>If GFHIs were effective in bringing down OOPE, per hospitalization expenses for those covered under these schemes should have also been reduced. As per NSS 75</w:t>
      </w:r>
      <w:r w:rsidR="002A5420" w:rsidRPr="007C7D72">
        <w:rPr>
          <w:rFonts w:ascii="Times New Roman" w:eastAsia="Times New Roman" w:hAnsi="Times New Roman" w:cs="Times New Roman"/>
          <w:sz w:val="24"/>
          <w:szCs w:val="24"/>
          <w:vertAlign w:val="superscript"/>
        </w:rPr>
        <w:t>th</w:t>
      </w:r>
      <w:r w:rsidR="002A5420" w:rsidRPr="007C7D72">
        <w:rPr>
          <w:rFonts w:ascii="Times New Roman" w:eastAsia="Times New Roman" w:hAnsi="Times New Roman" w:cs="Times New Roman"/>
          <w:sz w:val="24"/>
          <w:szCs w:val="24"/>
        </w:rPr>
        <w:t xml:space="preserve"> Round data, per episode hospitalisation expenses have increased, particularly for the private sector, rather than declining (Indranil 2023).  NSS CES round 2022-23 also substantiate the findings of other studies that those with GFHI cards are incurring higher expenditure compared to those using the cards. Moreover, GFHIs remain most effective in controlling OOP in public facilities in both rural and urban areas. Expenses incurred while </w:t>
      </w:r>
      <w:r w:rsidR="002A5420" w:rsidRPr="007C7D72">
        <w:rPr>
          <w:rFonts w:ascii="Times New Roman" w:eastAsia="Times New Roman" w:hAnsi="Times New Roman" w:cs="Times New Roman"/>
          <w:sz w:val="24"/>
          <w:szCs w:val="24"/>
        </w:rPr>
        <w:lastRenderedPageBreak/>
        <w:t xml:space="preserve">using public facilities and card have much higher levels of per capita OOP, compared to those go to public facilities (fig </w:t>
      </w:r>
      <w:r w:rsidR="00074B40" w:rsidRPr="007C7D72">
        <w:rPr>
          <w:rFonts w:ascii="Times New Roman" w:eastAsia="Times New Roman" w:hAnsi="Times New Roman" w:cs="Times New Roman"/>
          <w:sz w:val="24"/>
          <w:szCs w:val="24"/>
        </w:rPr>
        <w:t>3</w:t>
      </w:r>
      <w:r w:rsidR="002A5420" w:rsidRPr="007C7D72">
        <w:rPr>
          <w:rFonts w:ascii="Times New Roman" w:eastAsia="Times New Roman" w:hAnsi="Times New Roman" w:cs="Times New Roman"/>
          <w:sz w:val="24"/>
          <w:szCs w:val="24"/>
        </w:rPr>
        <w:t xml:space="preserve">). </w:t>
      </w:r>
    </w:p>
    <w:p w14:paraId="666E344A" w14:textId="03C28473" w:rsidR="002A5420" w:rsidRPr="007C7D72" w:rsidRDefault="002A5420" w:rsidP="007C7D72">
      <w:pPr>
        <w:pStyle w:val="Caption"/>
        <w:keepNext/>
        <w:rPr>
          <w:rFonts w:ascii="Times New Roman" w:hAnsi="Times New Roman" w:cs="Times New Roman"/>
          <w:b/>
          <w:bCs/>
          <w:sz w:val="24"/>
          <w:szCs w:val="24"/>
        </w:rPr>
      </w:pPr>
      <w:r w:rsidRPr="007C7D72">
        <w:rPr>
          <w:rFonts w:ascii="Times New Roman" w:hAnsi="Times New Roman" w:cs="Times New Roman"/>
          <w:b/>
          <w:bCs/>
          <w:sz w:val="24"/>
          <w:szCs w:val="24"/>
        </w:rPr>
        <w:t xml:space="preserve">Figure </w:t>
      </w:r>
      <w:r w:rsidR="00074B40" w:rsidRPr="007C7D72">
        <w:rPr>
          <w:rFonts w:ascii="Times New Roman" w:hAnsi="Times New Roman" w:cs="Times New Roman"/>
          <w:b/>
          <w:bCs/>
          <w:sz w:val="24"/>
          <w:szCs w:val="24"/>
        </w:rPr>
        <w:t>3</w:t>
      </w:r>
      <w:r w:rsidRPr="007C7D72">
        <w:rPr>
          <w:rFonts w:ascii="Times New Roman" w:hAnsi="Times New Roman" w:cs="Times New Roman"/>
          <w:b/>
          <w:bCs/>
          <w:sz w:val="24"/>
          <w:szCs w:val="24"/>
        </w:rPr>
        <w:t>: Average per capita OOP (INR) among beneficiaries of GFHIs compared to non-beneficiaries</w:t>
      </w:r>
    </w:p>
    <w:p w14:paraId="47487F5A" w14:textId="2CD8EC67" w:rsidR="00C67D11" w:rsidRPr="007C7D72" w:rsidRDefault="002A5420" w:rsidP="002A5420">
      <w:pPr>
        <w:spacing w:before="240" w:after="240"/>
        <w:jc w:val="both"/>
        <w:rPr>
          <w:rFonts w:ascii="Times New Roman" w:eastAsia="Times New Roman" w:hAnsi="Times New Roman" w:cs="Times New Roman"/>
          <w:sz w:val="24"/>
          <w:szCs w:val="24"/>
        </w:rPr>
      </w:pPr>
      <w:r w:rsidRPr="007C7D72">
        <w:rPr>
          <w:rFonts w:ascii="Times New Roman" w:hAnsi="Times New Roman" w:cs="Times New Roman"/>
          <w:noProof/>
          <w:sz w:val="24"/>
          <w:szCs w:val="24"/>
        </w:rPr>
        <w:drawing>
          <wp:inline distT="0" distB="0" distL="0" distR="0" wp14:anchorId="18F1E604" wp14:editId="1311DC95">
            <wp:extent cx="4572000" cy="2362200"/>
            <wp:effectExtent l="0" t="0" r="0" b="0"/>
            <wp:docPr id="653663975" name="Chart 1">
              <a:extLst xmlns:a="http://schemas.openxmlformats.org/drawingml/2006/main">
                <a:ext uri="{FF2B5EF4-FFF2-40B4-BE49-F238E27FC236}">
                  <a16:creationId xmlns:a16="http://schemas.microsoft.com/office/drawing/2014/main" id="{94C112DE-33FB-5A19-AC31-4FF6B5600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6C3CD7" w14:textId="77777777" w:rsidR="00BC4845" w:rsidRPr="007C7D72" w:rsidRDefault="00176585" w:rsidP="00ED2583">
      <w:pPr>
        <w:jc w:val="both"/>
        <w:rPr>
          <w:rFonts w:ascii="Times New Roman" w:eastAsia="Times New Roman" w:hAnsi="Times New Roman" w:cs="Times New Roman"/>
          <w:sz w:val="24"/>
          <w:szCs w:val="24"/>
        </w:rPr>
      </w:pPr>
      <w:r w:rsidRPr="007C7D72">
        <w:rPr>
          <w:rFonts w:ascii="Times New Roman" w:hAnsi="Times New Roman" w:cs="Times New Roman"/>
          <w:sz w:val="24"/>
          <w:szCs w:val="24"/>
        </w:rPr>
        <w:t>This</w:t>
      </w:r>
      <w:r w:rsidR="00417D0A" w:rsidRPr="007C7D72">
        <w:rPr>
          <w:rFonts w:ascii="Times New Roman" w:hAnsi="Times New Roman" w:cs="Times New Roman"/>
          <w:sz w:val="24"/>
          <w:szCs w:val="24"/>
        </w:rPr>
        <w:t xml:space="preserve"> state of affairs</w:t>
      </w:r>
      <w:r w:rsidRPr="007C7D72">
        <w:rPr>
          <w:rFonts w:ascii="Times New Roman" w:hAnsi="Times New Roman" w:cs="Times New Roman"/>
          <w:sz w:val="24"/>
          <w:szCs w:val="24"/>
        </w:rPr>
        <w:t xml:space="preserve"> </w:t>
      </w:r>
      <w:r w:rsidR="001433A4" w:rsidRPr="007C7D72">
        <w:rPr>
          <w:rFonts w:ascii="Times New Roman" w:hAnsi="Times New Roman" w:cs="Times New Roman"/>
          <w:sz w:val="24"/>
          <w:szCs w:val="24"/>
        </w:rPr>
        <w:t>being promoted by the G</w:t>
      </w:r>
      <w:r w:rsidRPr="007C7D72">
        <w:rPr>
          <w:rFonts w:ascii="Times New Roman" w:hAnsi="Times New Roman" w:cs="Times New Roman"/>
          <w:sz w:val="24"/>
          <w:szCs w:val="24"/>
        </w:rPr>
        <w:t xml:space="preserve">overnment </w:t>
      </w:r>
      <w:r w:rsidR="004B5210" w:rsidRPr="007C7D72">
        <w:rPr>
          <w:rFonts w:ascii="Times New Roman" w:hAnsi="Times New Roman" w:cs="Times New Roman"/>
          <w:sz w:val="24"/>
          <w:szCs w:val="24"/>
        </w:rPr>
        <w:t>–</w:t>
      </w:r>
      <w:r w:rsidRPr="007C7D72">
        <w:rPr>
          <w:rFonts w:ascii="Times New Roman" w:hAnsi="Times New Roman" w:cs="Times New Roman"/>
          <w:sz w:val="24"/>
          <w:szCs w:val="24"/>
        </w:rPr>
        <w:t xml:space="preserve"> </w:t>
      </w:r>
      <w:r w:rsidR="004B5210" w:rsidRPr="007C7D72">
        <w:rPr>
          <w:rFonts w:ascii="Times New Roman" w:hAnsi="Times New Roman" w:cs="Times New Roman"/>
          <w:sz w:val="24"/>
          <w:szCs w:val="24"/>
        </w:rPr>
        <w:t>starving</w:t>
      </w:r>
      <w:r w:rsidR="00996CEA" w:rsidRPr="007C7D72">
        <w:rPr>
          <w:rFonts w:ascii="Times New Roman" w:hAnsi="Times New Roman" w:cs="Times New Roman"/>
          <w:sz w:val="24"/>
          <w:szCs w:val="24"/>
        </w:rPr>
        <w:t xml:space="preserve"> the public </w:t>
      </w:r>
      <w:r w:rsidR="001433A4" w:rsidRPr="007C7D72">
        <w:rPr>
          <w:rFonts w:ascii="Times New Roman" w:hAnsi="Times New Roman" w:cs="Times New Roman"/>
          <w:sz w:val="24"/>
          <w:szCs w:val="24"/>
        </w:rPr>
        <w:t xml:space="preserve">health </w:t>
      </w:r>
      <w:r w:rsidR="00996CEA" w:rsidRPr="007C7D72">
        <w:rPr>
          <w:rFonts w:ascii="Times New Roman" w:hAnsi="Times New Roman" w:cs="Times New Roman"/>
          <w:sz w:val="24"/>
          <w:szCs w:val="24"/>
        </w:rPr>
        <w:t xml:space="preserve">system and promoting the private sector – fits well in the </w:t>
      </w:r>
      <w:r w:rsidR="00FF148E" w:rsidRPr="007C7D72">
        <w:rPr>
          <w:rFonts w:ascii="Times New Roman" w:hAnsi="Times New Roman" w:cs="Times New Roman"/>
          <w:sz w:val="24"/>
          <w:szCs w:val="24"/>
        </w:rPr>
        <w:t xml:space="preserve">overall </w:t>
      </w:r>
      <w:r w:rsidR="00996CEA" w:rsidRPr="007C7D72">
        <w:rPr>
          <w:rFonts w:ascii="Times New Roman" w:hAnsi="Times New Roman" w:cs="Times New Roman"/>
          <w:sz w:val="24"/>
          <w:szCs w:val="24"/>
        </w:rPr>
        <w:t>neoliberal agenda</w:t>
      </w:r>
      <w:r w:rsidR="00FF148E" w:rsidRPr="007C7D72">
        <w:rPr>
          <w:rFonts w:ascii="Times New Roman" w:hAnsi="Times New Roman" w:cs="Times New Roman"/>
          <w:sz w:val="24"/>
          <w:szCs w:val="24"/>
        </w:rPr>
        <w:t xml:space="preserve"> of capitalism. T</w:t>
      </w:r>
      <w:r w:rsidR="00ED2583" w:rsidRPr="007C7D72">
        <w:rPr>
          <w:rFonts w:ascii="Times New Roman" w:hAnsi="Times New Roman" w:cs="Times New Roman"/>
          <w:sz w:val="24"/>
          <w:szCs w:val="24"/>
        </w:rPr>
        <w:t>he c</w:t>
      </w:r>
      <w:r w:rsidR="00ED2583" w:rsidRPr="007C7D72">
        <w:rPr>
          <w:rFonts w:ascii="Times New Roman" w:eastAsia="Times New Roman" w:hAnsi="Times New Roman" w:cs="Times New Roman"/>
          <w:sz w:val="24"/>
          <w:szCs w:val="24"/>
        </w:rPr>
        <w:t xml:space="preserve">onsequences of </w:t>
      </w:r>
      <w:r w:rsidR="00652590" w:rsidRPr="007C7D72">
        <w:rPr>
          <w:rFonts w:ascii="Times New Roman" w:eastAsia="Times New Roman" w:hAnsi="Times New Roman" w:cs="Times New Roman"/>
          <w:sz w:val="24"/>
          <w:szCs w:val="24"/>
        </w:rPr>
        <w:t xml:space="preserve">this agenda </w:t>
      </w:r>
      <w:r w:rsidR="00ED2583" w:rsidRPr="007C7D72">
        <w:rPr>
          <w:rFonts w:ascii="Times New Roman" w:eastAsia="Times New Roman" w:hAnsi="Times New Roman" w:cs="Times New Roman"/>
          <w:sz w:val="24"/>
          <w:szCs w:val="24"/>
        </w:rPr>
        <w:t xml:space="preserve">are in front of us - growing inequities in access, rising Out of pocket expenses (OOP), depleting public provisioning, growing organised market for healthcare. </w:t>
      </w:r>
    </w:p>
    <w:p w14:paraId="6759E2D2" w14:textId="06D4FCAC" w:rsidR="00074B40" w:rsidRPr="007C7D72" w:rsidRDefault="00074B40" w:rsidP="00643737">
      <w:pPr>
        <w:spacing w:before="240" w:after="240"/>
        <w:jc w:val="both"/>
        <w:rPr>
          <w:rFonts w:ascii="Times New Roman" w:eastAsia="Times New Roman" w:hAnsi="Times New Roman" w:cs="Times New Roman"/>
          <w:sz w:val="24"/>
          <w:szCs w:val="24"/>
        </w:rPr>
      </w:pPr>
      <w:r w:rsidRPr="007C7D72">
        <w:rPr>
          <w:rFonts w:ascii="Times New Roman" w:eastAsia="Times New Roman" w:hAnsi="Times New Roman" w:cs="Times New Roman"/>
          <w:sz w:val="24"/>
          <w:szCs w:val="24"/>
        </w:rPr>
        <w:t xml:space="preserve">One of the latest sources of OOP estimates is the Consumer Expenditure Survey (CES)-2022-23. CES 2022-23 data shows that OOP as a share of household consumption expenditure (HCE) is on a steady rise. </w:t>
      </w:r>
    </w:p>
    <w:p w14:paraId="2F652CE7" w14:textId="3F78F473" w:rsidR="00074B40" w:rsidRPr="007C7D72" w:rsidRDefault="00074B40" w:rsidP="00074B40">
      <w:pPr>
        <w:spacing w:before="240"/>
        <w:jc w:val="both"/>
        <w:rPr>
          <w:rFonts w:ascii="Times New Roman" w:eastAsia="Times New Roman" w:hAnsi="Times New Roman" w:cs="Times New Roman"/>
          <w:b/>
          <w:bCs/>
          <w:sz w:val="24"/>
          <w:szCs w:val="24"/>
        </w:rPr>
      </w:pPr>
      <w:r w:rsidRPr="007C7D72">
        <w:rPr>
          <w:rFonts w:ascii="Times New Roman" w:eastAsia="Times New Roman" w:hAnsi="Times New Roman" w:cs="Times New Roman"/>
          <w:b/>
          <w:bCs/>
          <w:sz w:val="24"/>
          <w:szCs w:val="24"/>
        </w:rPr>
        <w:t>Figure 4: Share of Medical Expenditure in Household Consumption Expenditure (per cent)</w:t>
      </w:r>
    </w:p>
    <w:p w14:paraId="577859C1" w14:textId="77777777" w:rsidR="00074B40" w:rsidRPr="007C7D72" w:rsidRDefault="00074B40" w:rsidP="00074B40">
      <w:pPr>
        <w:spacing w:before="240" w:after="240"/>
        <w:contextualSpacing/>
        <w:jc w:val="both"/>
        <w:rPr>
          <w:rFonts w:ascii="Times New Roman" w:eastAsia="Times New Roman" w:hAnsi="Times New Roman" w:cs="Times New Roman"/>
          <w:sz w:val="24"/>
          <w:szCs w:val="24"/>
        </w:rPr>
      </w:pPr>
      <w:r w:rsidRPr="007C7D72">
        <w:rPr>
          <w:rFonts w:ascii="Times New Roman" w:eastAsia="Times New Roman" w:hAnsi="Times New Roman" w:cs="Times New Roman"/>
          <w:noProof/>
          <w:sz w:val="24"/>
          <w:szCs w:val="24"/>
        </w:rPr>
        <w:drawing>
          <wp:inline distT="114300" distB="114300" distL="114300" distR="114300" wp14:anchorId="1F2A2223" wp14:editId="6271CC37">
            <wp:extent cx="5890260" cy="2377440"/>
            <wp:effectExtent l="0" t="0" r="0" b="3810"/>
            <wp:docPr id="16052941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890597" cy="2377576"/>
                    </a:xfrm>
                    <a:prstGeom prst="rect">
                      <a:avLst/>
                    </a:prstGeom>
                    <a:ln/>
                  </pic:spPr>
                </pic:pic>
              </a:graphicData>
            </a:graphic>
          </wp:inline>
        </w:drawing>
      </w:r>
    </w:p>
    <w:p w14:paraId="3F183806" w14:textId="77777777" w:rsidR="00074B40" w:rsidRPr="007C7D72" w:rsidRDefault="00074B40" w:rsidP="00074B40">
      <w:pPr>
        <w:spacing w:before="240" w:after="240"/>
        <w:contextualSpacing/>
        <w:jc w:val="both"/>
        <w:rPr>
          <w:rFonts w:ascii="Times New Roman" w:eastAsia="Times New Roman" w:hAnsi="Times New Roman" w:cs="Times New Roman"/>
          <w:sz w:val="24"/>
          <w:szCs w:val="24"/>
        </w:rPr>
      </w:pPr>
      <w:r w:rsidRPr="007C7D72">
        <w:rPr>
          <w:rFonts w:ascii="Times New Roman" w:eastAsia="Times New Roman" w:hAnsi="Times New Roman" w:cs="Times New Roman"/>
          <w:sz w:val="24"/>
          <w:szCs w:val="24"/>
        </w:rPr>
        <w:t>Source: Reports of NSS Consumer Expenditure Surveys, various rounds</w:t>
      </w:r>
    </w:p>
    <w:p w14:paraId="2348E4AE" w14:textId="77777777" w:rsidR="00643737" w:rsidRPr="007C7D72" w:rsidRDefault="00643737" w:rsidP="00074B40">
      <w:pPr>
        <w:spacing w:before="240" w:after="240"/>
        <w:contextualSpacing/>
        <w:jc w:val="both"/>
        <w:rPr>
          <w:rFonts w:ascii="Times New Roman" w:eastAsia="Times New Roman" w:hAnsi="Times New Roman" w:cs="Times New Roman"/>
          <w:sz w:val="24"/>
          <w:szCs w:val="24"/>
        </w:rPr>
      </w:pPr>
    </w:p>
    <w:p w14:paraId="14E1C040" w14:textId="68704F86" w:rsidR="007038DE" w:rsidRPr="007C7D72" w:rsidRDefault="00643737" w:rsidP="00643737">
      <w:pPr>
        <w:spacing w:before="240" w:after="240"/>
        <w:jc w:val="both"/>
        <w:rPr>
          <w:rFonts w:ascii="Times New Roman" w:hAnsi="Times New Roman" w:cs="Times New Roman"/>
          <w:sz w:val="24"/>
          <w:szCs w:val="24"/>
        </w:rPr>
      </w:pPr>
      <w:r w:rsidRPr="007C7D72">
        <w:rPr>
          <w:rFonts w:ascii="Times New Roman" w:eastAsia="Times New Roman" w:hAnsi="Times New Roman" w:cs="Times New Roman"/>
          <w:sz w:val="24"/>
          <w:szCs w:val="24"/>
        </w:rPr>
        <w:lastRenderedPageBreak/>
        <w:t xml:space="preserve">Between 2011-12 and 2022-23 the share of OOPE in HCE has increased to 5.9 per cent from 5.5 per cent in </w:t>
      </w:r>
      <w:r w:rsidR="0096140F">
        <w:rPr>
          <w:rFonts w:ascii="Times New Roman" w:eastAsia="Times New Roman" w:hAnsi="Times New Roman" w:cs="Times New Roman"/>
          <w:sz w:val="24"/>
          <w:szCs w:val="24"/>
        </w:rPr>
        <w:t>urban</w:t>
      </w:r>
      <w:r w:rsidRPr="007C7D72">
        <w:rPr>
          <w:rFonts w:ascii="Times New Roman" w:eastAsia="Times New Roman" w:hAnsi="Times New Roman" w:cs="Times New Roman"/>
          <w:sz w:val="24"/>
          <w:szCs w:val="24"/>
        </w:rPr>
        <w:t xml:space="preserve"> areas and from 6.9 per cent to 7.1 per cent in </w:t>
      </w:r>
      <w:r w:rsidR="0096140F">
        <w:rPr>
          <w:rFonts w:ascii="Times New Roman" w:eastAsia="Times New Roman" w:hAnsi="Times New Roman" w:cs="Times New Roman"/>
          <w:sz w:val="24"/>
          <w:szCs w:val="24"/>
        </w:rPr>
        <w:t>rural</w:t>
      </w:r>
      <w:r w:rsidRPr="007C7D72">
        <w:rPr>
          <w:rFonts w:ascii="Times New Roman" w:eastAsia="Times New Roman" w:hAnsi="Times New Roman" w:cs="Times New Roman"/>
          <w:sz w:val="24"/>
          <w:szCs w:val="24"/>
        </w:rPr>
        <w:t xml:space="preserve"> areas (</w:t>
      </w:r>
      <w:r w:rsidR="000447E1">
        <w:rPr>
          <w:rFonts w:ascii="Times New Roman" w:eastAsia="Times New Roman" w:hAnsi="Times New Roman" w:cs="Times New Roman"/>
          <w:sz w:val="24"/>
          <w:szCs w:val="24"/>
        </w:rPr>
        <w:t>F</w:t>
      </w:r>
      <w:r w:rsidRPr="007C7D72">
        <w:rPr>
          <w:rFonts w:ascii="Times New Roman" w:eastAsia="Times New Roman" w:hAnsi="Times New Roman" w:cs="Times New Roman"/>
          <w:sz w:val="24"/>
          <w:szCs w:val="24"/>
        </w:rPr>
        <w:t xml:space="preserve">ig 4). Increased proportion of the household budget going for health indicates that healthcare is becoming more expensive for households than the increase in their consumption expenditure. </w:t>
      </w:r>
    </w:p>
    <w:p w14:paraId="32BF4021" w14:textId="65283338" w:rsidR="00BD59DA" w:rsidRDefault="00DB1BA0" w:rsidP="00DB1BA0">
      <w:pPr>
        <w:jc w:val="both"/>
        <w:rPr>
          <w:rFonts w:ascii="Times New Roman" w:hAnsi="Times New Roman" w:cs="Times New Roman"/>
          <w:sz w:val="24"/>
          <w:szCs w:val="24"/>
        </w:rPr>
      </w:pPr>
      <w:r w:rsidRPr="007C7D72">
        <w:rPr>
          <w:rFonts w:ascii="Times New Roman" w:hAnsi="Times New Roman" w:cs="Times New Roman"/>
          <w:sz w:val="24"/>
          <w:szCs w:val="24"/>
        </w:rPr>
        <w:t xml:space="preserve">Within India there are stark inequalities in terms of health expenditure by different state governments and the health outcomes achieved by various states. </w:t>
      </w:r>
      <w:r w:rsidR="00C745AB">
        <w:rPr>
          <w:rFonts w:ascii="Times New Roman" w:hAnsi="Times New Roman" w:cs="Times New Roman"/>
          <w:sz w:val="24"/>
          <w:szCs w:val="24"/>
        </w:rPr>
        <w:t>In some of the States such</w:t>
      </w:r>
      <w:r w:rsidR="00900498">
        <w:rPr>
          <w:rFonts w:ascii="Times New Roman" w:hAnsi="Times New Roman" w:cs="Times New Roman"/>
          <w:sz w:val="24"/>
          <w:szCs w:val="24"/>
        </w:rPr>
        <w:t xml:space="preserve"> as</w:t>
      </w:r>
      <w:r w:rsidR="00BD59DA">
        <w:rPr>
          <w:rFonts w:ascii="Times New Roman" w:hAnsi="Times New Roman" w:cs="Times New Roman"/>
          <w:sz w:val="24"/>
          <w:szCs w:val="24"/>
        </w:rPr>
        <w:t xml:space="preserve"> </w:t>
      </w:r>
      <w:r w:rsidR="00900498" w:rsidRPr="00900498">
        <w:rPr>
          <w:rFonts w:ascii="Times New Roman" w:hAnsi="Times New Roman" w:cs="Times New Roman"/>
          <w:sz w:val="24"/>
          <w:szCs w:val="24"/>
        </w:rPr>
        <w:t>Mizoram, J</w:t>
      </w:r>
      <w:r w:rsidR="00206494">
        <w:rPr>
          <w:rFonts w:ascii="Times New Roman" w:hAnsi="Times New Roman" w:cs="Times New Roman"/>
          <w:sz w:val="24"/>
          <w:szCs w:val="24"/>
        </w:rPr>
        <w:t xml:space="preserve">ammu </w:t>
      </w:r>
      <w:r w:rsidR="00900498" w:rsidRPr="00900498">
        <w:rPr>
          <w:rFonts w:ascii="Times New Roman" w:hAnsi="Times New Roman" w:cs="Times New Roman"/>
          <w:sz w:val="24"/>
          <w:szCs w:val="24"/>
        </w:rPr>
        <w:t>&amp;</w:t>
      </w:r>
      <w:r w:rsidR="00206494">
        <w:rPr>
          <w:rFonts w:ascii="Times New Roman" w:hAnsi="Times New Roman" w:cs="Times New Roman"/>
          <w:sz w:val="24"/>
          <w:szCs w:val="24"/>
        </w:rPr>
        <w:t xml:space="preserve"> </w:t>
      </w:r>
      <w:r w:rsidR="00900498" w:rsidRPr="00900498">
        <w:rPr>
          <w:rFonts w:ascii="Times New Roman" w:hAnsi="Times New Roman" w:cs="Times New Roman"/>
          <w:sz w:val="24"/>
          <w:szCs w:val="24"/>
        </w:rPr>
        <w:t>K</w:t>
      </w:r>
      <w:r w:rsidR="00206494">
        <w:rPr>
          <w:rFonts w:ascii="Times New Roman" w:hAnsi="Times New Roman" w:cs="Times New Roman"/>
          <w:sz w:val="24"/>
          <w:szCs w:val="24"/>
        </w:rPr>
        <w:t>ashmir</w:t>
      </w:r>
      <w:r w:rsidR="00900498" w:rsidRPr="00900498">
        <w:rPr>
          <w:rFonts w:ascii="Times New Roman" w:hAnsi="Times New Roman" w:cs="Times New Roman"/>
          <w:sz w:val="24"/>
          <w:szCs w:val="24"/>
        </w:rPr>
        <w:t>, Sikkim, Goa, Delhi, Himachal</w:t>
      </w:r>
      <w:r w:rsidR="00206494">
        <w:rPr>
          <w:rFonts w:ascii="Times New Roman" w:hAnsi="Times New Roman" w:cs="Times New Roman"/>
          <w:sz w:val="24"/>
          <w:szCs w:val="24"/>
        </w:rPr>
        <w:t xml:space="preserve">, </w:t>
      </w:r>
      <w:r w:rsidR="00900498" w:rsidRPr="00900498">
        <w:rPr>
          <w:rFonts w:ascii="Times New Roman" w:hAnsi="Times New Roman" w:cs="Times New Roman"/>
          <w:sz w:val="24"/>
          <w:szCs w:val="24"/>
        </w:rPr>
        <w:t xml:space="preserve">Puducherry </w:t>
      </w:r>
      <w:r w:rsidR="00206494">
        <w:rPr>
          <w:rFonts w:ascii="Times New Roman" w:hAnsi="Times New Roman" w:cs="Times New Roman"/>
          <w:sz w:val="24"/>
          <w:szCs w:val="24"/>
        </w:rPr>
        <w:t xml:space="preserve">a positive correlation between high public </w:t>
      </w:r>
      <w:r w:rsidR="00BD59DA">
        <w:rPr>
          <w:rFonts w:ascii="Times New Roman" w:hAnsi="Times New Roman" w:cs="Times New Roman"/>
          <w:sz w:val="24"/>
          <w:szCs w:val="24"/>
        </w:rPr>
        <w:t xml:space="preserve">spending on health and </w:t>
      </w:r>
      <w:r w:rsidR="00900498" w:rsidRPr="00900498">
        <w:rPr>
          <w:rFonts w:ascii="Times New Roman" w:hAnsi="Times New Roman" w:cs="Times New Roman"/>
          <w:sz w:val="24"/>
          <w:szCs w:val="24"/>
        </w:rPr>
        <w:t>better health services and outcomes</w:t>
      </w:r>
      <w:r w:rsidR="00BD59DA">
        <w:rPr>
          <w:rFonts w:ascii="Times New Roman" w:hAnsi="Times New Roman" w:cs="Times New Roman"/>
          <w:sz w:val="24"/>
          <w:szCs w:val="24"/>
        </w:rPr>
        <w:t xml:space="preserve">. </w:t>
      </w:r>
    </w:p>
    <w:p w14:paraId="5FCF8E72" w14:textId="77777777" w:rsidR="00BD59DA" w:rsidRDefault="00BD59DA" w:rsidP="00DB1BA0">
      <w:pPr>
        <w:jc w:val="both"/>
        <w:rPr>
          <w:rFonts w:ascii="Times New Roman" w:hAnsi="Times New Roman" w:cs="Times New Roman"/>
          <w:sz w:val="24"/>
          <w:szCs w:val="24"/>
        </w:rPr>
      </w:pPr>
    </w:p>
    <w:p w14:paraId="7BDE5A5E" w14:textId="5241DB70" w:rsidR="00DB1BA0" w:rsidRPr="007C7D72" w:rsidRDefault="00983DC6" w:rsidP="00DB1BA0">
      <w:pPr>
        <w:jc w:val="both"/>
        <w:rPr>
          <w:rFonts w:ascii="Times New Roman" w:hAnsi="Times New Roman" w:cs="Times New Roman"/>
          <w:sz w:val="24"/>
          <w:szCs w:val="24"/>
        </w:rPr>
      </w:pPr>
      <w:r w:rsidRPr="007C7D72">
        <w:rPr>
          <w:rFonts w:ascii="Times New Roman" w:hAnsi="Times New Roman" w:cs="Times New Roman"/>
          <w:sz w:val="24"/>
          <w:szCs w:val="24"/>
        </w:rPr>
        <w:t xml:space="preserve">Post COVID-19 while public spending </w:t>
      </w:r>
      <w:r w:rsidR="00A95B42" w:rsidRPr="007C7D72">
        <w:rPr>
          <w:rFonts w:ascii="Times New Roman" w:hAnsi="Times New Roman" w:cs="Times New Roman"/>
          <w:sz w:val="24"/>
          <w:szCs w:val="24"/>
        </w:rPr>
        <w:t xml:space="preserve">on health </w:t>
      </w:r>
      <w:r w:rsidRPr="007C7D72">
        <w:rPr>
          <w:rFonts w:ascii="Times New Roman" w:hAnsi="Times New Roman" w:cs="Times New Roman"/>
          <w:sz w:val="24"/>
          <w:szCs w:val="24"/>
        </w:rPr>
        <w:t xml:space="preserve">by the </w:t>
      </w:r>
      <w:r w:rsidR="00A95B42" w:rsidRPr="007C7D72">
        <w:rPr>
          <w:rFonts w:ascii="Times New Roman" w:hAnsi="Times New Roman" w:cs="Times New Roman"/>
          <w:sz w:val="24"/>
          <w:szCs w:val="24"/>
        </w:rPr>
        <w:t xml:space="preserve">Union Government </w:t>
      </w:r>
      <w:r w:rsidRPr="007C7D72">
        <w:rPr>
          <w:rFonts w:ascii="Times New Roman" w:hAnsi="Times New Roman" w:cs="Times New Roman"/>
          <w:sz w:val="24"/>
          <w:szCs w:val="24"/>
        </w:rPr>
        <w:t xml:space="preserve">has reduced, the </w:t>
      </w:r>
      <w:r w:rsidR="00A95B42" w:rsidRPr="007C7D72">
        <w:rPr>
          <w:rFonts w:ascii="Times New Roman" w:hAnsi="Times New Roman" w:cs="Times New Roman"/>
          <w:sz w:val="24"/>
          <w:szCs w:val="24"/>
        </w:rPr>
        <w:t xml:space="preserve">overall share of health spending in </w:t>
      </w:r>
      <w:r w:rsidRPr="007C7D72">
        <w:rPr>
          <w:rFonts w:ascii="Times New Roman" w:hAnsi="Times New Roman" w:cs="Times New Roman"/>
          <w:sz w:val="24"/>
          <w:szCs w:val="24"/>
        </w:rPr>
        <w:t>State</w:t>
      </w:r>
      <w:r w:rsidR="00A95B42" w:rsidRPr="007C7D72">
        <w:rPr>
          <w:rFonts w:ascii="Times New Roman" w:hAnsi="Times New Roman" w:cs="Times New Roman"/>
          <w:sz w:val="24"/>
          <w:szCs w:val="24"/>
        </w:rPr>
        <w:t xml:space="preserve">s has increased. </w:t>
      </w:r>
      <w:r w:rsidR="000B031D" w:rsidRPr="007C7D72">
        <w:rPr>
          <w:rFonts w:ascii="Times New Roman" w:hAnsi="Times New Roman" w:cs="Times New Roman"/>
          <w:sz w:val="24"/>
          <w:szCs w:val="24"/>
        </w:rPr>
        <w:t xml:space="preserve">However, given competing priorities, not all States are able to </w:t>
      </w:r>
      <w:r w:rsidR="0054654C" w:rsidRPr="007C7D72">
        <w:rPr>
          <w:rFonts w:ascii="Times New Roman" w:hAnsi="Times New Roman" w:cs="Times New Roman"/>
          <w:sz w:val="24"/>
          <w:szCs w:val="24"/>
        </w:rPr>
        <w:t>spend on health adequately</w:t>
      </w:r>
      <w:r w:rsidR="0098467B" w:rsidRPr="007C7D72">
        <w:rPr>
          <w:rFonts w:ascii="Times New Roman" w:hAnsi="Times New Roman" w:cs="Times New Roman"/>
          <w:sz w:val="24"/>
          <w:szCs w:val="24"/>
        </w:rPr>
        <w:t xml:space="preserve">, resulting in inequalities in health expenditure across States. </w:t>
      </w:r>
      <w:r w:rsidR="00D12326" w:rsidRPr="007C7D72">
        <w:rPr>
          <w:rFonts w:ascii="Times New Roman" w:hAnsi="Times New Roman" w:cs="Times New Roman"/>
          <w:sz w:val="24"/>
          <w:szCs w:val="24"/>
        </w:rPr>
        <w:t xml:space="preserve">Moreover, with the introduction of Good and Services Tax (GST), the revenue envelope for the States has shrunk. In these circumstances, </w:t>
      </w:r>
      <w:r w:rsidR="007E3C60" w:rsidRPr="007C7D72">
        <w:rPr>
          <w:rFonts w:ascii="Times New Roman" w:hAnsi="Times New Roman" w:cs="Times New Roman"/>
          <w:sz w:val="24"/>
          <w:szCs w:val="24"/>
        </w:rPr>
        <w:t xml:space="preserve">the Finance Commission needs to be step in and allocate </w:t>
      </w:r>
      <w:r w:rsidR="00D84EAB" w:rsidRPr="007C7D72">
        <w:rPr>
          <w:rFonts w:ascii="Times New Roman" w:hAnsi="Times New Roman" w:cs="Times New Roman"/>
          <w:sz w:val="24"/>
          <w:szCs w:val="24"/>
        </w:rPr>
        <w:t xml:space="preserve">funds to the States. </w:t>
      </w:r>
    </w:p>
    <w:p w14:paraId="5B95084B" w14:textId="1C3DCD60" w:rsidR="00DB1BA0" w:rsidRPr="007C7D72" w:rsidRDefault="00DB1BA0" w:rsidP="002808FC">
      <w:pPr>
        <w:jc w:val="both"/>
        <w:rPr>
          <w:rFonts w:ascii="Times New Roman" w:hAnsi="Times New Roman" w:cs="Times New Roman"/>
          <w:sz w:val="24"/>
          <w:szCs w:val="24"/>
        </w:rPr>
      </w:pPr>
    </w:p>
    <w:p w14:paraId="5054DAEF" w14:textId="374812C4" w:rsidR="002808FC" w:rsidRPr="007C7D72" w:rsidRDefault="00885E41" w:rsidP="00D74336">
      <w:pPr>
        <w:jc w:val="both"/>
        <w:rPr>
          <w:rFonts w:ascii="Times New Roman" w:hAnsi="Times New Roman" w:cs="Times New Roman"/>
          <w:sz w:val="24"/>
          <w:szCs w:val="24"/>
        </w:rPr>
      </w:pPr>
      <w:r w:rsidRPr="007C7D72">
        <w:rPr>
          <w:rFonts w:ascii="Times New Roman" w:hAnsi="Times New Roman" w:cs="Times New Roman"/>
          <w:sz w:val="24"/>
          <w:szCs w:val="24"/>
        </w:rPr>
        <w:t>Further, w</w:t>
      </w:r>
      <w:r w:rsidR="00E73B34" w:rsidRPr="007C7D72">
        <w:rPr>
          <w:rFonts w:ascii="Times New Roman" w:hAnsi="Times New Roman" w:cs="Times New Roman"/>
          <w:sz w:val="24"/>
          <w:szCs w:val="24"/>
        </w:rPr>
        <w:t xml:space="preserve">hile the flagship </w:t>
      </w:r>
      <w:r w:rsidR="00D03E90" w:rsidRPr="007C7D72">
        <w:rPr>
          <w:rFonts w:ascii="Times New Roman" w:hAnsi="Times New Roman" w:cs="Times New Roman"/>
          <w:sz w:val="24"/>
          <w:szCs w:val="24"/>
        </w:rPr>
        <w:t xml:space="preserve">programmes like the </w:t>
      </w:r>
      <w:r w:rsidR="00E73B34" w:rsidRPr="007C7D72">
        <w:rPr>
          <w:rFonts w:ascii="Times New Roman" w:hAnsi="Times New Roman" w:cs="Times New Roman"/>
          <w:sz w:val="24"/>
          <w:szCs w:val="24"/>
        </w:rPr>
        <w:t>National Rural Health Mission (NRHM) in 2004-05</w:t>
      </w:r>
      <w:r w:rsidR="00D229C9" w:rsidRPr="007C7D72">
        <w:rPr>
          <w:rFonts w:ascii="Times New Roman" w:hAnsi="Times New Roman" w:cs="Times New Roman"/>
          <w:sz w:val="24"/>
          <w:szCs w:val="24"/>
        </w:rPr>
        <w:t xml:space="preserve"> p</w:t>
      </w:r>
      <w:r w:rsidR="00DC19A6" w:rsidRPr="007C7D72">
        <w:rPr>
          <w:rFonts w:ascii="Times New Roman" w:hAnsi="Times New Roman" w:cs="Times New Roman"/>
          <w:sz w:val="24"/>
          <w:szCs w:val="24"/>
        </w:rPr>
        <w:t xml:space="preserve">romoted a </w:t>
      </w:r>
      <w:r w:rsidR="00D229C9" w:rsidRPr="007C7D72">
        <w:rPr>
          <w:rFonts w:ascii="Times New Roman" w:hAnsi="Times New Roman" w:cs="Times New Roman"/>
          <w:sz w:val="24"/>
          <w:szCs w:val="24"/>
        </w:rPr>
        <w:t>bottom</w:t>
      </w:r>
      <w:r w:rsidRPr="007C7D72">
        <w:rPr>
          <w:rFonts w:ascii="Times New Roman" w:hAnsi="Times New Roman" w:cs="Times New Roman"/>
          <w:sz w:val="24"/>
          <w:szCs w:val="24"/>
        </w:rPr>
        <w:t>-</w:t>
      </w:r>
      <w:r w:rsidR="00D229C9" w:rsidRPr="007C7D72">
        <w:rPr>
          <w:rFonts w:ascii="Times New Roman" w:hAnsi="Times New Roman" w:cs="Times New Roman"/>
          <w:sz w:val="24"/>
          <w:szCs w:val="24"/>
        </w:rPr>
        <w:t xml:space="preserve">up approach in planning and implementation of health policies, </w:t>
      </w:r>
      <w:r w:rsidR="008410B4" w:rsidRPr="007C7D72">
        <w:rPr>
          <w:rFonts w:ascii="Times New Roman" w:hAnsi="Times New Roman" w:cs="Times New Roman"/>
          <w:sz w:val="24"/>
          <w:szCs w:val="24"/>
        </w:rPr>
        <w:t>the system is over</w:t>
      </w:r>
      <w:r w:rsidR="00131DDB" w:rsidRPr="007C7D72">
        <w:rPr>
          <w:rFonts w:ascii="Times New Roman" w:hAnsi="Times New Roman" w:cs="Times New Roman"/>
          <w:sz w:val="24"/>
          <w:szCs w:val="24"/>
        </w:rPr>
        <w:t xml:space="preserve">whelmingly </w:t>
      </w:r>
      <w:r w:rsidR="008410B4" w:rsidRPr="007C7D72">
        <w:rPr>
          <w:rFonts w:ascii="Times New Roman" w:hAnsi="Times New Roman" w:cs="Times New Roman"/>
          <w:sz w:val="24"/>
          <w:szCs w:val="24"/>
        </w:rPr>
        <w:t>top-down</w:t>
      </w:r>
      <w:r w:rsidR="00131DDB" w:rsidRPr="007C7D72">
        <w:rPr>
          <w:rFonts w:ascii="Times New Roman" w:hAnsi="Times New Roman" w:cs="Times New Roman"/>
          <w:sz w:val="24"/>
          <w:szCs w:val="24"/>
        </w:rPr>
        <w:t xml:space="preserve">. </w:t>
      </w:r>
      <w:r w:rsidR="00E9136D" w:rsidRPr="007C7D72">
        <w:rPr>
          <w:rFonts w:ascii="Times New Roman" w:hAnsi="Times New Roman" w:cs="Times New Roman"/>
          <w:sz w:val="24"/>
          <w:szCs w:val="24"/>
        </w:rPr>
        <w:t>The</w:t>
      </w:r>
      <w:r w:rsidRPr="007C7D72">
        <w:rPr>
          <w:rFonts w:ascii="Times New Roman" w:hAnsi="Times New Roman" w:cs="Times New Roman"/>
          <w:sz w:val="24"/>
          <w:szCs w:val="24"/>
        </w:rPr>
        <w:t xml:space="preserve"> </w:t>
      </w:r>
      <w:r w:rsidR="004C0869" w:rsidRPr="007C7D72">
        <w:rPr>
          <w:rFonts w:ascii="Times New Roman" w:hAnsi="Times New Roman" w:cs="Times New Roman"/>
          <w:sz w:val="24"/>
          <w:szCs w:val="24"/>
        </w:rPr>
        <w:t xml:space="preserve">policies are being </w:t>
      </w:r>
      <w:r w:rsidR="00494CFD" w:rsidRPr="007C7D72">
        <w:rPr>
          <w:rFonts w:ascii="Times New Roman" w:hAnsi="Times New Roman" w:cs="Times New Roman"/>
          <w:sz w:val="24"/>
          <w:szCs w:val="24"/>
        </w:rPr>
        <w:t xml:space="preserve">designed </w:t>
      </w:r>
      <w:r w:rsidR="004C0869" w:rsidRPr="007C7D72">
        <w:rPr>
          <w:rFonts w:ascii="Times New Roman" w:hAnsi="Times New Roman" w:cs="Times New Roman"/>
          <w:sz w:val="24"/>
          <w:szCs w:val="24"/>
        </w:rPr>
        <w:t xml:space="preserve">at the Union level without regard to the needs of the people, </w:t>
      </w:r>
      <w:r w:rsidR="00494CFD" w:rsidRPr="007C7D72">
        <w:rPr>
          <w:rFonts w:ascii="Times New Roman" w:hAnsi="Times New Roman" w:cs="Times New Roman"/>
          <w:sz w:val="24"/>
          <w:szCs w:val="24"/>
        </w:rPr>
        <w:t xml:space="preserve">of which PMJAY is a prime example. </w:t>
      </w:r>
      <w:r w:rsidR="00460654" w:rsidRPr="007C7D72">
        <w:rPr>
          <w:rFonts w:ascii="Times New Roman" w:hAnsi="Times New Roman" w:cs="Times New Roman"/>
          <w:sz w:val="24"/>
          <w:szCs w:val="24"/>
        </w:rPr>
        <w:t xml:space="preserve">There are other implementation issues at the State and sub-State levels such as </w:t>
      </w:r>
      <w:r w:rsidR="00E9136D" w:rsidRPr="007C7D72">
        <w:rPr>
          <w:rFonts w:ascii="Times New Roman" w:hAnsi="Times New Roman" w:cs="Times New Roman"/>
          <w:sz w:val="24"/>
          <w:szCs w:val="24"/>
        </w:rPr>
        <w:t>delays in funds disbursal,</w:t>
      </w:r>
      <w:r w:rsidR="004A679A" w:rsidRPr="007C7D72">
        <w:rPr>
          <w:rFonts w:ascii="Times New Roman" w:hAnsi="Times New Roman" w:cs="Times New Roman"/>
          <w:sz w:val="24"/>
          <w:szCs w:val="24"/>
        </w:rPr>
        <w:t xml:space="preserve"> </w:t>
      </w:r>
      <w:r w:rsidR="00706FE9" w:rsidRPr="007C7D72">
        <w:rPr>
          <w:rFonts w:ascii="Times New Roman" w:hAnsi="Times New Roman" w:cs="Times New Roman"/>
          <w:sz w:val="24"/>
          <w:szCs w:val="24"/>
        </w:rPr>
        <w:t>unspent funds</w:t>
      </w:r>
      <w:r w:rsidR="0028112D" w:rsidRPr="007C7D72">
        <w:rPr>
          <w:rFonts w:ascii="Times New Roman" w:hAnsi="Times New Roman" w:cs="Times New Roman"/>
          <w:sz w:val="24"/>
          <w:szCs w:val="24"/>
        </w:rPr>
        <w:t xml:space="preserve"> and ineffective utilisation. </w:t>
      </w:r>
    </w:p>
    <w:p w14:paraId="72FFC472" w14:textId="77777777" w:rsidR="00B96496" w:rsidRPr="007C7D72" w:rsidRDefault="00B96496" w:rsidP="00D74336">
      <w:pPr>
        <w:jc w:val="both"/>
        <w:rPr>
          <w:rFonts w:ascii="Times New Roman" w:hAnsi="Times New Roman" w:cs="Times New Roman"/>
          <w:sz w:val="24"/>
          <w:szCs w:val="24"/>
        </w:rPr>
      </w:pPr>
    </w:p>
    <w:p w14:paraId="67034E26" w14:textId="38AB543D" w:rsidR="008778A8" w:rsidRPr="007C7D72" w:rsidRDefault="003A30A5" w:rsidP="008778A8">
      <w:pPr>
        <w:jc w:val="both"/>
        <w:rPr>
          <w:rFonts w:ascii="Times New Roman" w:hAnsi="Times New Roman" w:cs="Times New Roman"/>
          <w:b/>
          <w:bCs/>
          <w:sz w:val="24"/>
          <w:szCs w:val="24"/>
        </w:rPr>
      </w:pPr>
      <w:r w:rsidRPr="007C7D72">
        <w:rPr>
          <w:rFonts w:ascii="Times New Roman" w:hAnsi="Times New Roman" w:cs="Times New Roman"/>
          <w:b/>
          <w:bCs/>
          <w:sz w:val="24"/>
          <w:szCs w:val="24"/>
        </w:rPr>
        <w:t xml:space="preserve">Some of the long-standing demands of Jan Swasthya Abhiyan </w:t>
      </w:r>
      <w:r w:rsidR="00F00D33">
        <w:rPr>
          <w:rFonts w:ascii="Times New Roman" w:hAnsi="Times New Roman" w:cs="Times New Roman"/>
          <w:b/>
          <w:bCs/>
          <w:sz w:val="24"/>
          <w:szCs w:val="24"/>
        </w:rPr>
        <w:t xml:space="preserve">are </w:t>
      </w:r>
      <w:r w:rsidRPr="007C7D72">
        <w:rPr>
          <w:rFonts w:ascii="Times New Roman" w:hAnsi="Times New Roman" w:cs="Times New Roman"/>
          <w:b/>
          <w:bCs/>
          <w:sz w:val="24"/>
          <w:szCs w:val="24"/>
        </w:rPr>
        <w:t xml:space="preserve">have been - </w:t>
      </w:r>
    </w:p>
    <w:p w14:paraId="7ABA0E14" w14:textId="77777777" w:rsidR="00CD60EA" w:rsidRPr="007C7D72" w:rsidRDefault="00CD60EA" w:rsidP="008225FE">
      <w:pPr>
        <w:pBdr>
          <w:top w:val="nil"/>
          <w:left w:val="nil"/>
          <w:bottom w:val="nil"/>
          <w:right w:val="nil"/>
          <w:between w:val="nil"/>
        </w:pBdr>
        <w:jc w:val="both"/>
        <w:rPr>
          <w:rFonts w:ascii="Times New Roman" w:eastAsia="Cambria" w:hAnsi="Times New Roman" w:cs="Times New Roman"/>
          <w:b/>
          <w:sz w:val="24"/>
          <w:szCs w:val="24"/>
        </w:rPr>
      </w:pPr>
    </w:p>
    <w:p w14:paraId="285913F9" w14:textId="391877D6" w:rsidR="00BD04D0" w:rsidRPr="007C7D72" w:rsidRDefault="004935C6" w:rsidP="00CD60EA">
      <w:pPr>
        <w:pStyle w:val="ListParagraph"/>
        <w:numPr>
          <w:ilvl w:val="0"/>
          <w:numId w:val="5"/>
        </w:numPr>
        <w:pBdr>
          <w:top w:val="nil"/>
          <w:left w:val="nil"/>
          <w:bottom w:val="nil"/>
          <w:right w:val="nil"/>
          <w:between w:val="nil"/>
        </w:pBdr>
        <w:jc w:val="both"/>
        <w:rPr>
          <w:rFonts w:ascii="Times New Roman" w:eastAsia="Cambria" w:hAnsi="Times New Roman" w:cs="Times New Roman"/>
          <w:color w:val="000000"/>
          <w:sz w:val="24"/>
          <w:szCs w:val="24"/>
        </w:rPr>
      </w:pPr>
      <w:r w:rsidRPr="007C7D72">
        <w:rPr>
          <w:rFonts w:ascii="Times New Roman" w:eastAsia="Cambria" w:hAnsi="Times New Roman" w:cs="Times New Roman"/>
          <w:b/>
          <w:color w:val="000000"/>
          <w:sz w:val="24"/>
          <w:szCs w:val="24"/>
        </w:rPr>
        <w:t>I</w:t>
      </w:r>
      <w:r w:rsidR="00373C55" w:rsidRPr="007C7D72">
        <w:rPr>
          <w:rFonts w:ascii="Times New Roman" w:eastAsia="Cambria" w:hAnsi="Times New Roman" w:cs="Times New Roman"/>
          <w:b/>
          <w:color w:val="000000"/>
          <w:sz w:val="24"/>
          <w:szCs w:val="24"/>
        </w:rPr>
        <w:t xml:space="preserve">ncrease public expenditure on healthcare to reach 3.5% of GDP, with at least 1% of GDP being spent by the Union Government. </w:t>
      </w:r>
      <w:r w:rsidR="00BD04D0" w:rsidRPr="007C7D72">
        <w:rPr>
          <w:rFonts w:ascii="Times New Roman" w:eastAsia="Cambria" w:hAnsi="Times New Roman" w:cs="Times New Roman"/>
          <w:b/>
          <w:color w:val="000000"/>
          <w:sz w:val="24"/>
          <w:szCs w:val="24"/>
        </w:rPr>
        <w:t>States should get special financial envelopes for raised health expenditure.</w:t>
      </w:r>
      <w:bookmarkStart w:id="1" w:name="_heading=h.1fob9te" w:colFirst="0" w:colLast="0"/>
      <w:bookmarkEnd w:id="1"/>
    </w:p>
    <w:p w14:paraId="05CCBC35" w14:textId="763347DE" w:rsidR="00373C55" w:rsidRPr="007C7D72" w:rsidRDefault="00373C55" w:rsidP="00CD60EA">
      <w:pPr>
        <w:pStyle w:val="ListParagraph"/>
        <w:pBdr>
          <w:top w:val="nil"/>
          <w:left w:val="nil"/>
          <w:bottom w:val="nil"/>
          <w:right w:val="nil"/>
          <w:between w:val="nil"/>
        </w:pBdr>
        <w:jc w:val="both"/>
        <w:rPr>
          <w:rFonts w:ascii="Times New Roman" w:eastAsia="Cambria" w:hAnsi="Times New Roman" w:cs="Times New Roman"/>
          <w:color w:val="000000"/>
          <w:sz w:val="24"/>
          <w:szCs w:val="24"/>
        </w:rPr>
      </w:pPr>
      <w:r w:rsidRPr="007C7D72">
        <w:rPr>
          <w:rFonts w:ascii="Times New Roman" w:eastAsia="Cambria" w:hAnsi="Times New Roman" w:cs="Times New Roman"/>
          <w:color w:val="000000"/>
          <w:sz w:val="24"/>
          <w:szCs w:val="24"/>
        </w:rPr>
        <w:t xml:space="preserve">Overall public health expenditure must be majorly increased to reach 3.5% in the short term. While enabling this, the Union government should </w:t>
      </w:r>
      <w:r w:rsidRPr="007C7D72">
        <w:rPr>
          <w:rFonts w:ascii="Times New Roman" w:eastAsia="Cambria" w:hAnsi="Times New Roman" w:cs="Times New Roman"/>
          <w:sz w:val="24"/>
          <w:szCs w:val="24"/>
        </w:rPr>
        <w:t>transfer a much</w:t>
      </w:r>
      <w:r w:rsidRPr="007C7D72">
        <w:rPr>
          <w:rFonts w:ascii="Times New Roman" w:eastAsia="Cambria" w:hAnsi="Times New Roman" w:cs="Times New Roman"/>
          <w:color w:val="000000"/>
          <w:sz w:val="24"/>
          <w:szCs w:val="24"/>
        </w:rPr>
        <w:t xml:space="preserve"> larger share of resources to states through the Finance Commission (FC), and a special financial envelope for states should be created for implementation of Right to Health and Healthcare under the XVI Finance Commission. Special grants under XV FC to local bodies should be augmented further, to foster decentralised governance and delivery of healthcare services. Allocation towards the National Health Mission should be enhanced to facilitate upgradation and expansion of rural and urban health services, and dealing with communicable as well as non-communicable diseases and climate related health challenges. Greater flexibility should be accorded to states to decide on the priorities within NHM and the process of participatory, decentralised planning should be strengthened. </w:t>
      </w:r>
    </w:p>
    <w:p w14:paraId="1A5CF1C8" w14:textId="77777777" w:rsidR="00373C55" w:rsidRPr="007C7D72" w:rsidRDefault="00373C55" w:rsidP="00373C55">
      <w:pPr>
        <w:pBdr>
          <w:top w:val="nil"/>
          <w:left w:val="nil"/>
          <w:bottom w:val="nil"/>
          <w:right w:val="nil"/>
          <w:between w:val="nil"/>
        </w:pBdr>
        <w:spacing w:line="259" w:lineRule="auto"/>
        <w:ind w:left="173"/>
        <w:jc w:val="both"/>
        <w:rPr>
          <w:rFonts w:ascii="Times New Roman" w:eastAsia="Cambria" w:hAnsi="Times New Roman" w:cs="Times New Roman"/>
          <w:b/>
          <w:color w:val="000000"/>
          <w:sz w:val="24"/>
          <w:szCs w:val="24"/>
        </w:rPr>
      </w:pPr>
    </w:p>
    <w:p w14:paraId="7AB445CB" w14:textId="00C1D7F9" w:rsidR="00373C55" w:rsidRPr="007C7D72" w:rsidRDefault="008225FE" w:rsidP="00CD60EA">
      <w:pPr>
        <w:numPr>
          <w:ilvl w:val="0"/>
          <w:numId w:val="5"/>
        </w:numPr>
        <w:pBdr>
          <w:top w:val="nil"/>
          <w:left w:val="nil"/>
          <w:bottom w:val="nil"/>
          <w:right w:val="nil"/>
          <w:between w:val="nil"/>
        </w:pBdr>
        <w:spacing w:line="259" w:lineRule="auto"/>
        <w:jc w:val="both"/>
        <w:rPr>
          <w:rFonts w:ascii="Times New Roman" w:eastAsia="Cambria" w:hAnsi="Times New Roman" w:cs="Times New Roman"/>
          <w:b/>
          <w:color w:val="000000"/>
          <w:sz w:val="24"/>
          <w:szCs w:val="24"/>
        </w:rPr>
      </w:pPr>
      <w:r w:rsidRPr="007C7D72">
        <w:rPr>
          <w:rFonts w:ascii="Times New Roman" w:eastAsia="Cambria" w:hAnsi="Times New Roman" w:cs="Times New Roman"/>
          <w:b/>
          <w:sz w:val="24"/>
          <w:szCs w:val="24"/>
        </w:rPr>
        <w:lastRenderedPageBreak/>
        <w:t xml:space="preserve">No one should face financial hardship due to Out-of-Pocket (OOP) Spending on health - </w:t>
      </w:r>
      <w:r w:rsidR="00373C55" w:rsidRPr="007C7D72">
        <w:rPr>
          <w:rFonts w:ascii="Times New Roman" w:eastAsia="Cambria" w:hAnsi="Times New Roman" w:cs="Times New Roman"/>
          <w:b/>
          <w:color w:val="000000"/>
          <w:sz w:val="24"/>
          <w:szCs w:val="24"/>
        </w:rPr>
        <w:t>Out-of-pocket expenditure on health must be minimised and brought down to below 25% of health spending in next five years</w:t>
      </w:r>
    </w:p>
    <w:p w14:paraId="70E6692A" w14:textId="77777777" w:rsidR="00373C55" w:rsidRPr="007C7D72" w:rsidRDefault="00373C55" w:rsidP="00CD60EA">
      <w:pPr>
        <w:pStyle w:val="ListParagraph"/>
        <w:pBdr>
          <w:top w:val="nil"/>
          <w:left w:val="nil"/>
          <w:bottom w:val="nil"/>
          <w:right w:val="nil"/>
          <w:between w:val="nil"/>
        </w:pBdr>
        <w:jc w:val="both"/>
        <w:rPr>
          <w:rFonts w:ascii="Times New Roman" w:eastAsia="Cambria" w:hAnsi="Times New Roman" w:cs="Times New Roman"/>
          <w:color w:val="000000"/>
          <w:sz w:val="24"/>
          <w:szCs w:val="24"/>
        </w:rPr>
      </w:pPr>
      <w:r w:rsidRPr="007C7D72">
        <w:rPr>
          <w:rFonts w:ascii="Times New Roman" w:eastAsia="Cambria" w:hAnsi="Times New Roman" w:cs="Times New Roman"/>
          <w:color w:val="000000"/>
          <w:sz w:val="24"/>
          <w:szCs w:val="24"/>
        </w:rPr>
        <w:t>Out-of-pocket (OOP) spending on healthcare should be minimised so that no one is pushed into poverty, or faces catastrophic health spending and indebtedness due to healthcare expenses. Current decline in utilisation of health services due to high spending by households is unacceptable and must be reversed to ensure that no one has to forgo healthcare due to unaffordable costs. The objective of reducing OOP to less than 25% of health spending should be adopted as a national goal.</w:t>
      </w:r>
    </w:p>
    <w:p w14:paraId="2C3031C2" w14:textId="77777777" w:rsidR="00373C55" w:rsidRPr="007C7D72" w:rsidRDefault="00373C55" w:rsidP="00373C55">
      <w:pPr>
        <w:spacing w:before="200" w:line="240" w:lineRule="auto"/>
        <w:ind w:left="-77"/>
        <w:jc w:val="both"/>
        <w:rPr>
          <w:rFonts w:ascii="Times New Roman" w:eastAsia="Cambria" w:hAnsi="Times New Roman" w:cs="Times New Roman"/>
          <w:b/>
          <w:sz w:val="24"/>
          <w:szCs w:val="24"/>
        </w:rPr>
      </w:pPr>
    </w:p>
    <w:p w14:paraId="471EFE90" w14:textId="4451186B" w:rsidR="00373C55" w:rsidRPr="007C7D72" w:rsidRDefault="00CD60EA" w:rsidP="00CD60EA">
      <w:pPr>
        <w:pStyle w:val="ListParagraph"/>
        <w:numPr>
          <w:ilvl w:val="0"/>
          <w:numId w:val="5"/>
        </w:numPr>
        <w:pBdr>
          <w:top w:val="nil"/>
          <w:left w:val="nil"/>
          <w:bottom w:val="nil"/>
          <w:right w:val="nil"/>
          <w:between w:val="nil"/>
        </w:pBdr>
        <w:spacing w:line="259" w:lineRule="auto"/>
        <w:jc w:val="both"/>
        <w:rPr>
          <w:rFonts w:ascii="Times New Roman" w:eastAsia="Cambria" w:hAnsi="Times New Roman" w:cs="Times New Roman"/>
          <w:b/>
          <w:color w:val="000000"/>
          <w:sz w:val="24"/>
          <w:szCs w:val="24"/>
        </w:rPr>
      </w:pPr>
      <w:r w:rsidRPr="007C7D72">
        <w:rPr>
          <w:rFonts w:ascii="Times New Roman" w:eastAsia="Cambria" w:hAnsi="Times New Roman" w:cs="Times New Roman"/>
          <w:b/>
          <w:sz w:val="24"/>
          <w:szCs w:val="24"/>
        </w:rPr>
        <w:t xml:space="preserve">Healthcare is primarily the government’s responsibility - </w:t>
      </w:r>
      <w:r w:rsidRPr="007C7D72">
        <w:rPr>
          <w:rFonts w:ascii="Times New Roman" w:eastAsia="Cambria" w:hAnsi="Times New Roman" w:cs="Times New Roman"/>
          <w:b/>
          <w:color w:val="000000"/>
          <w:sz w:val="24"/>
          <w:szCs w:val="24"/>
        </w:rPr>
        <w:t>Phase out Government-funded health insurance schemes such as PMJAY and Public Private Partnerships</w:t>
      </w:r>
      <w:r w:rsidR="000142D4" w:rsidRPr="007C7D72">
        <w:rPr>
          <w:rFonts w:ascii="Times New Roman" w:eastAsia="Cambria" w:hAnsi="Times New Roman" w:cs="Times New Roman"/>
          <w:b/>
          <w:color w:val="000000"/>
          <w:sz w:val="24"/>
          <w:szCs w:val="24"/>
        </w:rPr>
        <w:t xml:space="preserve">, replaced </w:t>
      </w:r>
      <w:r w:rsidR="00373C55" w:rsidRPr="007C7D72">
        <w:rPr>
          <w:rFonts w:ascii="Times New Roman" w:eastAsia="Cambria" w:hAnsi="Times New Roman" w:cs="Times New Roman"/>
          <w:b/>
          <w:color w:val="000000"/>
          <w:sz w:val="24"/>
          <w:szCs w:val="24"/>
        </w:rPr>
        <w:t>with a Public centred system for Universal Health Care</w:t>
      </w:r>
    </w:p>
    <w:p w14:paraId="0B18C444" w14:textId="77777777" w:rsidR="00373C55" w:rsidRPr="007C7D72" w:rsidRDefault="00373C55" w:rsidP="00CD60EA">
      <w:pPr>
        <w:pStyle w:val="ListParagraph"/>
        <w:jc w:val="both"/>
        <w:rPr>
          <w:rFonts w:ascii="Times New Roman" w:eastAsia="Cambria" w:hAnsi="Times New Roman" w:cs="Times New Roman"/>
          <w:color w:val="0D0D0D"/>
          <w:sz w:val="24"/>
          <w:szCs w:val="24"/>
          <w:highlight w:val="white"/>
        </w:rPr>
      </w:pPr>
      <w:r w:rsidRPr="007C7D72">
        <w:rPr>
          <w:rFonts w:ascii="Times New Roman" w:eastAsia="Cambria" w:hAnsi="Times New Roman" w:cs="Times New Roman"/>
          <w:color w:val="0D0D0D"/>
          <w:sz w:val="24"/>
          <w:szCs w:val="24"/>
          <w:highlight w:val="white"/>
        </w:rPr>
        <w:t xml:space="preserve">Phase out the Pradhan Mantri Jan Arogya Yojana - based on the discredited insurance model - in a phased manner, and replace this with a Public centred system for Universal Health Care. In the interim, all admissions under the scheme in private facilities must be based on gatekeeping by public health facilities, regarding those conditions where services are not available within the public system. There is clear need as well as potential to develop a public centred system for Universal Health Care, based on major expansion and strengthening of public services, while engaging regulated private providers to address current gaps. This system will provide ready access to quality healthcare, which will be available free of charge to everyone. Eliminate existing PPPs which weaken public services, abolish privatization of government health services, no government hospitals or services should be handed over to private companies. </w:t>
      </w:r>
    </w:p>
    <w:p w14:paraId="788C131B" w14:textId="77777777" w:rsidR="00373C55" w:rsidRPr="007C7D72" w:rsidRDefault="00373C55">
      <w:pPr>
        <w:rPr>
          <w:rFonts w:ascii="Times New Roman" w:hAnsi="Times New Roman" w:cs="Times New Roman"/>
          <w:sz w:val="24"/>
          <w:szCs w:val="24"/>
        </w:rPr>
      </w:pPr>
    </w:p>
    <w:sectPr w:rsidR="00373C55" w:rsidRPr="007C7D7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D780" w14:textId="77777777" w:rsidR="000628CF" w:rsidRDefault="000628CF" w:rsidP="00D03E90">
      <w:pPr>
        <w:spacing w:line="240" w:lineRule="auto"/>
      </w:pPr>
      <w:r>
        <w:separator/>
      </w:r>
    </w:p>
  </w:endnote>
  <w:endnote w:type="continuationSeparator" w:id="0">
    <w:p w14:paraId="5B442287" w14:textId="77777777" w:rsidR="000628CF" w:rsidRDefault="000628CF" w:rsidP="00D03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CFCA" w14:textId="4E0A238E" w:rsidR="00D03E90" w:rsidRDefault="00D03E90">
    <w:pPr>
      <w:pStyle w:val="Footer"/>
    </w:pPr>
  </w:p>
  <w:p w14:paraId="539DB5CD" w14:textId="64BC80A7" w:rsidR="00D03E90" w:rsidRDefault="00D03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7C26" w14:textId="77777777" w:rsidR="000628CF" w:rsidRDefault="000628CF" w:rsidP="00D03E90">
      <w:pPr>
        <w:spacing w:line="240" w:lineRule="auto"/>
      </w:pPr>
      <w:r>
        <w:separator/>
      </w:r>
    </w:p>
  </w:footnote>
  <w:footnote w:type="continuationSeparator" w:id="0">
    <w:p w14:paraId="7DAA13BA" w14:textId="77777777" w:rsidR="000628CF" w:rsidRDefault="000628CF" w:rsidP="00D03E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AA0"/>
    <w:multiLevelType w:val="hybridMultilevel"/>
    <w:tmpl w:val="9586CD4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067B70"/>
    <w:multiLevelType w:val="multilevel"/>
    <w:tmpl w:val="14569528"/>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8F4489F"/>
    <w:multiLevelType w:val="multilevel"/>
    <w:tmpl w:val="A5FE6940"/>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0F41BB"/>
    <w:multiLevelType w:val="hybridMultilevel"/>
    <w:tmpl w:val="C6D8064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C756205"/>
    <w:multiLevelType w:val="multilevel"/>
    <w:tmpl w:val="4434EA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59664726">
    <w:abstractNumId w:val="4"/>
  </w:num>
  <w:num w:numId="2" w16cid:durableId="369763695">
    <w:abstractNumId w:val="2"/>
  </w:num>
  <w:num w:numId="3" w16cid:durableId="1072700168">
    <w:abstractNumId w:val="1"/>
  </w:num>
  <w:num w:numId="4" w16cid:durableId="36128943">
    <w:abstractNumId w:val="3"/>
  </w:num>
  <w:num w:numId="5" w16cid:durableId="195273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55"/>
    <w:rsid w:val="000142D4"/>
    <w:rsid w:val="00025372"/>
    <w:rsid w:val="000447E1"/>
    <w:rsid w:val="000628CF"/>
    <w:rsid w:val="00074B40"/>
    <w:rsid w:val="000900CB"/>
    <w:rsid w:val="00092C50"/>
    <w:rsid w:val="000B031D"/>
    <w:rsid w:val="000F6EA8"/>
    <w:rsid w:val="00131DDB"/>
    <w:rsid w:val="001433A4"/>
    <w:rsid w:val="00176585"/>
    <w:rsid w:val="001C1B85"/>
    <w:rsid w:val="00201675"/>
    <w:rsid w:val="002055B5"/>
    <w:rsid w:val="00206494"/>
    <w:rsid w:val="00224B66"/>
    <w:rsid w:val="002326C5"/>
    <w:rsid w:val="00252FEB"/>
    <w:rsid w:val="002808FC"/>
    <w:rsid w:val="0028112D"/>
    <w:rsid w:val="002A5420"/>
    <w:rsid w:val="002B104D"/>
    <w:rsid w:val="002C4168"/>
    <w:rsid w:val="002E01F2"/>
    <w:rsid w:val="00312337"/>
    <w:rsid w:val="00373C55"/>
    <w:rsid w:val="00392E95"/>
    <w:rsid w:val="003A30A5"/>
    <w:rsid w:val="00405874"/>
    <w:rsid w:val="00417D0A"/>
    <w:rsid w:val="00424B43"/>
    <w:rsid w:val="0042632E"/>
    <w:rsid w:val="004361BF"/>
    <w:rsid w:val="00460654"/>
    <w:rsid w:val="00464C23"/>
    <w:rsid w:val="00466B83"/>
    <w:rsid w:val="004935C6"/>
    <w:rsid w:val="00494CFD"/>
    <w:rsid w:val="004A679A"/>
    <w:rsid w:val="004B5210"/>
    <w:rsid w:val="004C0869"/>
    <w:rsid w:val="004C269A"/>
    <w:rsid w:val="00523FAF"/>
    <w:rsid w:val="0054654C"/>
    <w:rsid w:val="00570C1C"/>
    <w:rsid w:val="00643737"/>
    <w:rsid w:val="00652590"/>
    <w:rsid w:val="00674052"/>
    <w:rsid w:val="006D155D"/>
    <w:rsid w:val="006D5C2B"/>
    <w:rsid w:val="0070264A"/>
    <w:rsid w:val="007038DE"/>
    <w:rsid w:val="00706FE9"/>
    <w:rsid w:val="0077572F"/>
    <w:rsid w:val="007C7D72"/>
    <w:rsid w:val="007E3C60"/>
    <w:rsid w:val="007E7D3C"/>
    <w:rsid w:val="007F5479"/>
    <w:rsid w:val="00815194"/>
    <w:rsid w:val="008225FE"/>
    <w:rsid w:val="0083682C"/>
    <w:rsid w:val="008410B4"/>
    <w:rsid w:val="00844BA7"/>
    <w:rsid w:val="00853DB0"/>
    <w:rsid w:val="00856605"/>
    <w:rsid w:val="008778A8"/>
    <w:rsid w:val="00885E41"/>
    <w:rsid w:val="00900498"/>
    <w:rsid w:val="00944489"/>
    <w:rsid w:val="0096044A"/>
    <w:rsid w:val="0096140F"/>
    <w:rsid w:val="00972A4D"/>
    <w:rsid w:val="00983DC6"/>
    <w:rsid w:val="0098467B"/>
    <w:rsid w:val="00994891"/>
    <w:rsid w:val="00996CEA"/>
    <w:rsid w:val="009B1C45"/>
    <w:rsid w:val="009B6994"/>
    <w:rsid w:val="00A004E0"/>
    <w:rsid w:val="00A04AF7"/>
    <w:rsid w:val="00A54F0A"/>
    <w:rsid w:val="00A60AE9"/>
    <w:rsid w:val="00A645B7"/>
    <w:rsid w:val="00A71980"/>
    <w:rsid w:val="00A82333"/>
    <w:rsid w:val="00A95B42"/>
    <w:rsid w:val="00AA0EF6"/>
    <w:rsid w:val="00B37060"/>
    <w:rsid w:val="00B43869"/>
    <w:rsid w:val="00B96496"/>
    <w:rsid w:val="00BA6FE9"/>
    <w:rsid w:val="00BA7B28"/>
    <w:rsid w:val="00BC4845"/>
    <w:rsid w:val="00BD04D0"/>
    <w:rsid w:val="00BD59DA"/>
    <w:rsid w:val="00C02B4F"/>
    <w:rsid w:val="00C0666A"/>
    <w:rsid w:val="00C67D11"/>
    <w:rsid w:val="00C745AB"/>
    <w:rsid w:val="00C85E91"/>
    <w:rsid w:val="00C972F7"/>
    <w:rsid w:val="00CD60EA"/>
    <w:rsid w:val="00D03E90"/>
    <w:rsid w:val="00D12326"/>
    <w:rsid w:val="00D229C9"/>
    <w:rsid w:val="00D52C0C"/>
    <w:rsid w:val="00D57EE6"/>
    <w:rsid w:val="00D74336"/>
    <w:rsid w:val="00D84EAB"/>
    <w:rsid w:val="00D977EC"/>
    <w:rsid w:val="00DB1BA0"/>
    <w:rsid w:val="00DC19A6"/>
    <w:rsid w:val="00DC6C4F"/>
    <w:rsid w:val="00DF0834"/>
    <w:rsid w:val="00DF3D4D"/>
    <w:rsid w:val="00E30D0A"/>
    <w:rsid w:val="00E317E4"/>
    <w:rsid w:val="00E73B34"/>
    <w:rsid w:val="00E9136D"/>
    <w:rsid w:val="00ED2583"/>
    <w:rsid w:val="00F00D33"/>
    <w:rsid w:val="00F32B25"/>
    <w:rsid w:val="00F4034D"/>
    <w:rsid w:val="00F70013"/>
    <w:rsid w:val="00FB7479"/>
    <w:rsid w:val="00FE5FA8"/>
    <w:rsid w:val="00FF04F6"/>
    <w:rsid w:val="00FF148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DDFCB"/>
  <w15:chartTrackingRefBased/>
  <w15:docId w15:val="{A310AD71-F32B-4E9D-A606-8DCD375C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C55"/>
    <w:pPr>
      <w:spacing w:after="0" w:line="276" w:lineRule="auto"/>
    </w:pPr>
    <w:rPr>
      <w:rFonts w:eastAsia="Arial"/>
      <w:sz w:val="22"/>
      <w:szCs w:val="22"/>
      <w:lang w:eastAsia="en-IN"/>
      <w14:ligatures w14:val="none"/>
    </w:rPr>
  </w:style>
  <w:style w:type="paragraph" w:styleId="Heading1">
    <w:name w:val="heading 1"/>
    <w:basedOn w:val="Normal"/>
    <w:next w:val="Normal"/>
    <w:link w:val="Heading1Char"/>
    <w:uiPriority w:val="9"/>
    <w:qFormat/>
    <w:rsid w:val="00373C5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73C5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73C5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373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C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C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C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C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C5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73C5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73C5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373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C55"/>
    <w:rPr>
      <w:rFonts w:eastAsiaTheme="majorEastAsia" w:cstheme="majorBidi"/>
      <w:color w:val="272727" w:themeColor="text1" w:themeTint="D8"/>
    </w:rPr>
  </w:style>
  <w:style w:type="paragraph" w:styleId="Title">
    <w:name w:val="Title"/>
    <w:basedOn w:val="Normal"/>
    <w:next w:val="Normal"/>
    <w:link w:val="TitleChar"/>
    <w:uiPriority w:val="10"/>
    <w:qFormat/>
    <w:rsid w:val="00373C5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73C5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73C5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73C5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73C55"/>
    <w:pPr>
      <w:spacing w:before="160"/>
      <w:jc w:val="center"/>
    </w:pPr>
    <w:rPr>
      <w:i/>
      <w:iCs/>
      <w:color w:val="404040" w:themeColor="text1" w:themeTint="BF"/>
    </w:rPr>
  </w:style>
  <w:style w:type="character" w:customStyle="1" w:styleId="QuoteChar">
    <w:name w:val="Quote Char"/>
    <w:basedOn w:val="DefaultParagraphFont"/>
    <w:link w:val="Quote"/>
    <w:uiPriority w:val="29"/>
    <w:rsid w:val="00373C55"/>
    <w:rPr>
      <w:i/>
      <w:iCs/>
      <w:color w:val="404040" w:themeColor="text1" w:themeTint="BF"/>
    </w:rPr>
  </w:style>
  <w:style w:type="paragraph" w:styleId="ListParagraph">
    <w:name w:val="List Paragraph"/>
    <w:basedOn w:val="Normal"/>
    <w:uiPriority w:val="34"/>
    <w:qFormat/>
    <w:rsid w:val="00373C55"/>
    <w:pPr>
      <w:ind w:left="720"/>
      <w:contextualSpacing/>
    </w:pPr>
  </w:style>
  <w:style w:type="character" w:styleId="IntenseEmphasis">
    <w:name w:val="Intense Emphasis"/>
    <w:basedOn w:val="DefaultParagraphFont"/>
    <w:uiPriority w:val="21"/>
    <w:qFormat/>
    <w:rsid w:val="00373C55"/>
    <w:rPr>
      <w:i/>
      <w:iCs/>
      <w:color w:val="0F4761" w:themeColor="accent1" w:themeShade="BF"/>
    </w:rPr>
  </w:style>
  <w:style w:type="paragraph" w:styleId="IntenseQuote">
    <w:name w:val="Intense Quote"/>
    <w:basedOn w:val="Normal"/>
    <w:next w:val="Normal"/>
    <w:link w:val="IntenseQuoteChar"/>
    <w:uiPriority w:val="30"/>
    <w:qFormat/>
    <w:rsid w:val="00373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C55"/>
    <w:rPr>
      <w:i/>
      <w:iCs/>
      <w:color w:val="0F4761" w:themeColor="accent1" w:themeShade="BF"/>
    </w:rPr>
  </w:style>
  <w:style w:type="character" w:styleId="IntenseReference">
    <w:name w:val="Intense Reference"/>
    <w:basedOn w:val="DefaultParagraphFont"/>
    <w:uiPriority w:val="32"/>
    <w:qFormat/>
    <w:rsid w:val="00373C55"/>
    <w:rPr>
      <w:b/>
      <w:bCs/>
      <w:smallCaps/>
      <w:color w:val="0F4761" w:themeColor="accent1" w:themeShade="BF"/>
      <w:spacing w:val="5"/>
    </w:rPr>
  </w:style>
  <w:style w:type="paragraph" w:styleId="Header">
    <w:name w:val="header"/>
    <w:basedOn w:val="Normal"/>
    <w:link w:val="HeaderChar"/>
    <w:uiPriority w:val="99"/>
    <w:unhideWhenUsed/>
    <w:rsid w:val="00D03E90"/>
    <w:pPr>
      <w:tabs>
        <w:tab w:val="center" w:pos="4513"/>
        <w:tab w:val="right" w:pos="9026"/>
      </w:tabs>
      <w:spacing w:line="240" w:lineRule="auto"/>
    </w:pPr>
    <w:rPr>
      <w:szCs w:val="20"/>
    </w:rPr>
  </w:style>
  <w:style w:type="character" w:customStyle="1" w:styleId="HeaderChar">
    <w:name w:val="Header Char"/>
    <w:basedOn w:val="DefaultParagraphFont"/>
    <w:link w:val="Header"/>
    <w:uiPriority w:val="99"/>
    <w:rsid w:val="00D03E90"/>
    <w:rPr>
      <w:rFonts w:eastAsia="Arial"/>
      <w:sz w:val="22"/>
      <w:szCs w:val="20"/>
      <w:lang w:eastAsia="en-IN"/>
      <w14:ligatures w14:val="none"/>
    </w:rPr>
  </w:style>
  <w:style w:type="paragraph" w:styleId="Footer">
    <w:name w:val="footer"/>
    <w:basedOn w:val="Normal"/>
    <w:link w:val="FooterChar"/>
    <w:uiPriority w:val="99"/>
    <w:unhideWhenUsed/>
    <w:rsid w:val="00D03E90"/>
    <w:pPr>
      <w:tabs>
        <w:tab w:val="center" w:pos="4513"/>
        <w:tab w:val="right" w:pos="9026"/>
      </w:tabs>
      <w:spacing w:line="240" w:lineRule="auto"/>
    </w:pPr>
    <w:rPr>
      <w:szCs w:val="20"/>
    </w:rPr>
  </w:style>
  <w:style w:type="character" w:customStyle="1" w:styleId="FooterChar">
    <w:name w:val="Footer Char"/>
    <w:basedOn w:val="DefaultParagraphFont"/>
    <w:link w:val="Footer"/>
    <w:uiPriority w:val="99"/>
    <w:rsid w:val="00D03E90"/>
    <w:rPr>
      <w:rFonts w:eastAsia="Arial"/>
      <w:sz w:val="22"/>
      <w:szCs w:val="20"/>
      <w:lang w:eastAsia="en-IN"/>
      <w14:ligatures w14:val="none"/>
    </w:rPr>
  </w:style>
  <w:style w:type="paragraph" w:styleId="FootnoteText">
    <w:name w:val="footnote text"/>
    <w:basedOn w:val="Normal"/>
    <w:link w:val="FootnoteTextChar"/>
    <w:uiPriority w:val="99"/>
    <w:semiHidden/>
    <w:unhideWhenUsed/>
    <w:rsid w:val="00DF3D4D"/>
    <w:pPr>
      <w:spacing w:line="240" w:lineRule="auto"/>
    </w:pPr>
    <w:rPr>
      <w:sz w:val="20"/>
      <w:szCs w:val="18"/>
    </w:rPr>
  </w:style>
  <w:style w:type="character" w:customStyle="1" w:styleId="FootnoteTextChar">
    <w:name w:val="Footnote Text Char"/>
    <w:basedOn w:val="DefaultParagraphFont"/>
    <w:link w:val="FootnoteText"/>
    <w:uiPriority w:val="99"/>
    <w:semiHidden/>
    <w:rsid w:val="00DF3D4D"/>
    <w:rPr>
      <w:rFonts w:eastAsia="Arial"/>
      <w:sz w:val="20"/>
      <w:szCs w:val="18"/>
      <w:lang w:eastAsia="en-IN"/>
      <w14:ligatures w14:val="none"/>
    </w:rPr>
  </w:style>
  <w:style w:type="character" w:styleId="FootnoteReference">
    <w:name w:val="footnote reference"/>
    <w:basedOn w:val="DefaultParagraphFont"/>
    <w:uiPriority w:val="99"/>
    <w:semiHidden/>
    <w:unhideWhenUsed/>
    <w:rsid w:val="00DF3D4D"/>
    <w:rPr>
      <w:vertAlign w:val="superscript"/>
    </w:rPr>
  </w:style>
  <w:style w:type="paragraph" w:styleId="Caption">
    <w:name w:val="caption"/>
    <w:basedOn w:val="Normal"/>
    <w:next w:val="Normal"/>
    <w:uiPriority w:val="35"/>
    <w:unhideWhenUsed/>
    <w:qFormat/>
    <w:rsid w:val="002A5420"/>
    <w:pPr>
      <w:spacing w:after="200" w:line="240" w:lineRule="auto"/>
    </w:pPr>
    <w:rPr>
      <w:rFonts w:ascii="Arial" w:hAnsi="Arial" w:cs="Mangal"/>
      <w:i/>
      <w:iCs/>
      <w:color w:val="0E2841" w:themeColor="text2"/>
      <w:kern w:val="0"/>
      <w:sz w:val="18"/>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Newsclick\Article%20on%20PMJAY\Parliament%20Questions%20&amp;%20Data\PMJAY%20-%20Data%20Work%20(Autosaved)%20(Autosav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jguedu-my.sharepoint.com/personal/imukhopadhyay_jgu_edu_in/Documents/CES/Outputs/Bank_workbo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Sheet1!$B$3</c:f>
              <c:strCache>
                <c:ptCount val="1"/>
                <c:pt idx="0">
                  <c:v>GHE as % TGE</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Sheet1!$C$2:$G$2</c:f>
              <c:strCache>
                <c:ptCount val="5"/>
                <c:pt idx="0">
                  <c:v>2020-21 BE</c:v>
                </c:pt>
                <c:pt idx="1">
                  <c:v>2021-22 BE</c:v>
                </c:pt>
                <c:pt idx="2">
                  <c:v>2022-23 BE</c:v>
                </c:pt>
                <c:pt idx="3">
                  <c:v>2023-24 BE</c:v>
                </c:pt>
                <c:pt idx="4">
                  <c:v>2024-25 BE</c:v>
                </c:pt>
              </c:strCache>
            </c:strRef>
          </c:cat>
          <c:val>
            <c:numRef>
              <c:f>Sheet1!$C$3:$G$3</c:f>
              <c:numCache>
                <c:formatCode>General</c:formatCode>
                <c:ptCount val="5"/>
                <c:pt idx="0">
                  <c:v>1.8</c:v>
                </c:pt>
                <c:pt idx="1">
                  <c:v>2.36</c:v>
                </c:pt>
                <c:pt idx="2">
                  <c:v>2.2599999999999998</c:v>
                </c:pt>
                <c:pt idx="3">
                  <c:v>2.06</c:v>
                </c:pt>
                <c:pt idx="4">
                  <c:v>1.96</c:v>
                </c:pt>
              </c:numCache>
            </c:numRef>
          </c:val>
          <c:smooth val="0"/>
          <c:extLst>
            <c:ext xmlns:c16="http://schemas.microsoft.com/office/drawing/2014/chart" uri="{C3380CC4-5D6E-409C-BE32-E72D297353CC}">
              <c16:uniqueId val="{00000000-2966-4598-9D41-86D3E10AD595}"/>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77508848"/>
        <c:axId val="477518360"/>
      </c:lineChart>
      <c:catAx>
        <c:axId val="4775088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77518360"/>
        <c:crosses val="autoZero"/>
        <c:auto val="1"/>
        <c:lblAlgn val="ctr"/>
        <c:lblOffset val="100"/>
        <c:noMultiLvlLbl val="0"/>
      </c:catAx>
      <c:valAx>
        <c:axId val="4775183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77508848"/>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765266686246811E-2"/>
          <c:y val="4.9971598103869384E-2"/>
          <c:w val="0.91718381561097051"/>
          <c:h val="0.69813291515058717"/>
        </c:manualLayout>
      </c:layout>
      <c:barChart>
        <c:barDir val="col"/>
        <c:grouping val="clustered"/>
        <c:varyColors val="0"/>
        <c:ser>
          <c:idx val="0"/>
          <c:order val="0"/>
          <c:tx>
            <c:strRef>
              <c:f>'Hospital Admissions '!$A$63</c:f>
              <c:strCache>
                <c:ptCount val="1"/>
                <c:pt idx="0">
                  <c:v>Admissions in Private Hospitals as % of Total Private Hospital Admissions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'Hospital Admissions '!$B$62:$C$62</c:f>
              <c:strCache>
                <c:ptCount val="2"/>
                <c:pt idx="0">
                  <c:v>Dalit </c:v>
                </c:pt>
                <c:pt idx="1">
                  <c:v>Tribal</c:v>
                </c:pt>
              </c:strCache>
            </c:strRef>
          </c:cat>
          <c:val>
            <c:numRef>
              <c:f>'Hospital Admissions '!$B$63:$C$63</c:f>
              <c:numCache>
                <c:formatCode>General</c:formatCode>
                <c:ptCount val="2"/>
                <c:pt idx="0">
                  <c:v>4</c:v>
                </c:pt>
                <c:pt idx="1">
                  <c:v>1.6</c:v>
                </c:pt>
              </c:numCache>
            </c:numRef>
          </c:val>
          <c:extLst>
            <c:ext xmlns:c16="http://schemas.microsoft.com/office/drawing/2014/chart" uri="{C3380CC4-5D6E-409C-BE32-E72D297353CC}">
              <c16:uniqueId val="{00000000-26A5-43C0-B54B-1C50FB3DD84F}"/>
            </c:ext>
          </c:extLst>
        </c:ser>
        <c:ser>
          <c:idx val="1"/>
          <c:order val="1"/>
          <c:tx>
            <c:strRef>
              <c:f>'Hospital Admissions '!$A$64</c:f>
              <c:strCache>
                <c:ptCount val="1"/>
                <c:pt idx="0">
                  <c:v>% within Poor Population eligible for PMJAY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'Hospital Admissions '!$B$62:$C$62</c:f>
              <c:strCache>
                <c:ptCount val="2"/>
                <c:pt idx="0">
                  <c:v>Dalit </c:v>
                </c:pt>
                <c:pt idx="1">
                  <c:v>Tribal</c:v>
                </c:pt>
              </c:strCache>
            </c:strRef>
          </c:cat>
          <c:val>
            <c:numRef>
              <c:f>'Hospital Admissions '!$B$64:$C$64</c:f>
              <c:numCache>
                <c:formatCode>General</c:formatCode>
                <c:ptCount val="2"/>
                <c:pt idx="0">
                  <c:v>19.7</c:v>
                </c:pt>
                <c:pt idx="1">
                  <c:v>15.4</c:v>
                </c:pt>
              </c:numCache>
            </c:numRef>
          </c:val>
          <c:extLst>
            <c:ext xmlns:c16="http://schemas.microsoft.com/office/drawing/2014/chart" uri="{C3380CC4-5D6E-409C-BE32-E72D297353CC}">
              <c16:uniqueId val="{00000001-26A5-43C0-B54B-1C50FB3DD84F}"/>
            </c:ext>
          </c:extLst>
        </c:ser>
        <c:dLbls>
          <c:showLegendKey val="0"/>
          <c:showVal val="0"/>
          <c:showCatName val="0"/>
          <c:showSerName val="0"/>
          <c:showPercent val="0"/>
          <c:showBubbleSize val="0"/>
        </c:dLbls>
        <c:gapWidth val="219"/>
        <c:overlap val="-27"/>
        <c:axId val="202098176"/>
        <c:axId val="202100136"/>
      </c:barChart>
      <c:catAx>
        <c:axId val="20209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2100136"/>
        <c:crosses val="autoZero"/>
        <c:auto val="1"/>
        <c:lblAlgn val="ctr"/>
        <c:lblOffset val="100"/>
        <c:noMultiLvlLbl val="0"/>
      </c:catAx>
      <c:valAx>
        <c:axId val="202100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209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136482939632546E-2"/>
          <c:y val="5.9139784946236562E-2"/>
          <c:w val="0.89030796150481195"/>
          <c:h val="0.74939971213275758"/>
        </c:manualLayout>
      </c:layout>
      <c:barChart>
        <c:barDir val="col"/>
        <c:grouping val="clustered"/>
        <c:varyColors val="0"/>
        <c:ser>
          <c:idx val="1"/>
          <c:order val="1"/>
          <c:tx>
            <c:strRef>
              <c:f>OOP!$O$19</c:f>
              <c:strCache>
                <c:ptCount val="1"/>
                <c:pt idx="0">
                  <c:v>public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multiLvlStrRef>
              <c:f>OOP!$P$17:$S$18</c:f>
              <c:multiLvlStrCache>
                <c:ptCount val="4"/>
                <c:lvl>
                  <c:pt idx="0">
                    <c:v>With GFHI benefit</c:v>
                  </c:pt>
                  <c:pt idx="1">
                    <c:v>without GFHI benefit</c:v>
                  </c:pt>
                  <c:pt idx="2">
                    <c:v>With GFHI benefit</c:v>
                  </c:pt>
                  <c:pt idx="3">
                    <c:v>without GFHI benefit</c:v>
                  </c:pt>
                </c:lvl>
                <c:lvl>
                  <c:pt idx="0">
                    <c:v>Rural</c:v>
                  </c:pt>
                  <c:pt idx="2">
                    <c:v>Urban</c:v>
                  </c:pt>
                </c:lvl>
              </c:multiLvlStrCache>
            </c:multiLvlStrRef>
          </c:cat>
          <c:val>
            <c:numRef>
              <c:f>OOP!$P$19:$S$19</c:f>
              <c:numCache>
                <c:formatCode>0</c:formatCode>
                <c:ptCount val="4"/>
                <c:pt idx="0">
                  <c:v>164.3836</c:v>
                </c:pt>
                <c:pt idx="1">
                  <c:v>78.082189999999997</c:v>
                </c:pt>
                <c:pt idx="2">
                  <c:v>164.3836</c:v>
                </c:pt>
                <c:pt idx="3">
                  <c:v>102.7397</c:v>
                </c:pt>
              </c:numCache>
            </c:numRef>
          </c:val>
          <c:extLst>
            <c:ext xmlns:c16="http://schemas.microsoft.com/office/drawing/2014/chart" uri="{C3380CC4-5D6E-409C-BE32-E72D297353CC}">
              <c16:uniqueId val="{00000000-9D0B-485A-8098-442C434A3600}"/>
            </c:ext>
          </c:extLst>
        </c:ser>
        <c:ser>
          <c:idx val="2"/>
          <c:order val="2"/>
          <c:tx>
            <c:strRef>
              <c:f>OOP!$O$20</c:f>
              <c:strCache>
                <c:ptCount val="1"/>
                <c:pt idx="0">
                  <c:v>private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multiLvlStrRef>
              <c:f>OOP!$P$17:$S$18</c:f>
              <c:multiLvlStrCache>
                <c:ptCount val="4"/>
                <c:lvl>
                  <c:pt idx="0">
                    <c:v>With GFHI benefit</c:v>
                  </c:pt>
                  <c:pt idx="1">
                    <c:v>without GFHI benefit</c:v>
                  </c:pt>
                  <c:pt idx="2">
                    <c:v>With GFHI benefit</c:v>
                  </c:pt>
                  <c:pt idx="3">
                    <c:v>without GFHI benefit</c:v>
                  </c:pt>
                </c:lvl>
                <c:lvl>
                  <c:pt idx="0">
                    <c:v>Rural</c:v>
                  </c:pt>
                  <c:pt idx="2">
                    <c:v>Urban</c:v>
                  </c:pt>
                </c:lvl>
              </c:multiLvlStrCache>
            </c:multiLvlStrRef>
          </c:cat>
          <c:val>
            <c:numRef>
              <c:f>OOP!$P$20:$S$20</c:f>
              <c:numCache>
                <c:formatCode>0</c:formatCode>
                <c:ptCount val="4"/>
                <c:pt idx="0">
                  <c:v>536.4384</c:v>
                </c:pt>
                <c:pt idx="1">
                  <c:v>364.93150000000003</c:v>
                </c:pt>
                <c:pt idx="2">
                  <c:v>684.93150000000003</c:v>
                </c:pt>
                <c:pt idx="3">
                  <c:v>472.6028</c:v>
                </c:pt>
              </c:numCache>
            </c:numRef>
          </c:val>
          <c:extLst>
            <c:ext xmlns:c16="http://schemas.microsoft.com/office/drawing/2014/chart" uri="{C3380CC4-5D6E-409C-BE32-E72D297353CC}">
              <c16:uniqueId val="{00000001-9D0B-485A-8098-442C434A3600}"/>
            </c:ext>
          </c:extLst>
        </c:ser>
        <c:ser>
          <c:idx val="3"/>
          <c:order val="3"/>
          <c:tx>
            <c:strRef>
              <c:f>OOP!$O$21</c:f>
              <c:strCache>
                <c:ptCount val="1"/>
                <c:pt idx="0">
                  <c:v>mix</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multiLvlStrRef>
              <c:f>OOP!$P$17:$S$18</c:f>
              <c:multiLvlStrCache>
                <c:ptCount val="4"/>
                <c:lvl>
                  <c:pt idx="0">
                    <c:v>With GFHI benefit</c:v>
                  </c:pt>
                  <c:pt idx="1">
                    <c:v>without GFHI benefit</c:v>
                  </c:pt>
                  <c:pt idx="2">
                    <c:v>With GFHI benefit</c:v>
                  </c:pt>
                  <c:pt idx="3">
                    <c:v>without GFHI benefit</c:v>
                  </c:pt>
                </c:lvl>
                <c:lvl>
                  <c:pt idx="0">
                    <c:v>Rural</c:v>
                  </c:pt>
                  <c:pt idx="2">
                    <c:v>Urban</c:v>
                  </c:pt>
                </c:lvl>
              </c:multiLvlStrCache>
            </c:multiLvlStrRef>
          </c:cat>
          <c:val>
            <c:numRef>
              <c:f>OOP!$P$21:$S$21</c:f>
              <c:numCache>
                <c:formatCode>0</c:formatCode>
                <c:ptCount val="4"/>
                <c:pt idx="0">
                  <c:v>442.96800000000002</c:v>
                </c:pt>
                <c:pt idx="1">
                  <c:v>153.23159999999999</c:v>
                </c:pt>
                <c:pt idx="2">
                  <c:v>547.9452</c:v>
                </c:pt>
                <c:pt idx="3">
                  <c:v>254.7945</c:v>
                </c:pt>
              </c:numCache>
            </c:numRef>
          </c:val>
          <c:extLst>
            <c:ext xmlns:c16="http://schemas.microsoft.com/office/drawing/2014/chart" uri="{C3380CC4-5D6E-409C-BE32-E72D297353CC}">
              <c16:uniqueId val="{00000002-9D0B-485A-8098-442C434A3600}"/>
            </c:ext>
          </c:extLst>
        </c:ser>
        <c:dLbls>
          <c:dLblPos val="outEnd"/>
          <c:showLegendKey val="0"/>
          <c:showVal val="1"/>
          <c:showCatName val="0"/>
          <c:showSerName val="0"/>
          <c:showPercent val="0"/>
          <c:showBubbleSize val="0"/>
        </c:dLbls>
        <c:gapWidth val="267"/>
        <c:overlap val="-43"/>
        <c:axId val="2106123679"/>
        <c:axId val="2106143359"/>
        <c:extLst>
          <c:ext xmlns:c15="http://schemas.microsoft.com/office/drawing/2012/chart" uri="{02D57815-91ED-43cb-92C2-25804820EDAC}">
            <c15:filteredBarSeries>
              <c15:ser>
                <c:idx val="0"/>
                <c:order val="0"/>
                <c:tx>
                  <c:strRef>
                    <c:extLst>
                      <c:ext uri="{02D57815-91ED-43cb-92C2-25804820EDAC}">
                        <c15:formulaRef>
                          <c15:sqref>OOP!$O$18</c15:sqref>
                        </c15:formulaRef>
                      </c:ext>
                    </c:extLst>
                    <c:strCache>
                      <c:ptCount val="1"/>
                      <c:pt idx="0">
                        <c:v>Type of facility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dk1">
                                <a:lumMod val="35000"/>
                                <a:lumOff val="65000"/>
                              </a:schemeClr>
                            </a:solidFill>
                            <a:round/>
                          </a:ln>
                          <a:effectLst/>
                        </c:spPr>
                      </c15:leaderLines>
                    </c:ext>
                  </c:extLst>
                </c:dLbls>
                <c:cat>
                  <c:multiLvlStrRef>
                    <c:extLst>
                      <c:ext uri="{02D57815-91ED-43cb-92C2-25804820EDAC}">
                        <c15:formulaRef>
                          <c15:sqref>OOP!$P$17:$S$18</c15:sqref>
                        </c15:formulaRef>
                      </c:ext>
                    </c:extLst>
                    <c:multiLvlStrCache>
                      <c:ptCount val="4"/>
                      <c:lvl>
                        <c:pt idx="0">
                          <c:v>With GFHI benefit</c:v>
                        </c:pt>
                        <c:pt idx="1">
                          <c:v>without GFHI benefit</c:v>
                        </c:pt>
                        <c:pt idx="2">
                          <c:v>With GFHI benefit</c:v>
                        </c:pt>
                        <c:pt idx="3">
                          <c:v>without GFHI benefit</c:v>
                        </c:pt>
                      </c:lvl>
                      <c:lvl>
                        <c:pt idx="0">
                          <c:v>Rural</c:v>
                        </c:pt>
                        <c:pt idx="2">
                          <c:v>Urban</c:v>
                        </c:pt>
                      </c:lvl>
                    </c:multiLvlStrCache>
                  </c:multiLvlStrRef>
                </c:cat>
                <c:val>
                  <c:numRef>
                    <c:extLst>
                      <c:ext uri="{02D57815-91ED-43cb-92C2-25804820EDAC}">
                        <c15:formulaRef>
                          <c15:sqref>OOP!$P$18:$S$18</c15:sqref>
                        </c15:formulaRef>
                      </c:ext>
                    </c:extLst>
                    <c:numCache>
                      <c:formatCode>General</c:formatCode>
                      <c:ptCount val="4"/>
                      <c:pt idx="0">
                        <c:v>0</c:v>
                      </c:pt>
                      <c:pt idx="1">
                        <c:v>0</c:v>
                      </c:pt>
                      <c:pt idx="2">
                        <c:v>0</c:v>
                      </c:pt>
                      <c:pt idx="3">
                        <c:v>0</c:v>
                      </c:pt>
                    </c:numCache>
                  </c:numRef>
                </c:val>
                <c:extLst>
                  <c:ext xmlns:c16="http://schemas.microsoft.com/office/drawing/2014/chart" uri="{C3380CC4-5D6E-409C-BE32-E72D297353CC}">
                    <c16:uniqueId val="{00000003-9D0B-485A-8098-442C434A3600}"/>
                  </c:ext>
                </c:extLst>
              </c15:ser>
            </c15:filteredBarSeries>
          </c:ext>
        </c:extLst>
      </c:barChart>
      <c:catAx>
        <c:axId val="2106123679"/>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106143359"/>
        <c:crosses val="autoZero"/>
        <c:auto val="1"/>
        <c:lblAlgn val="ctr"/>
        <c:lblOffset val="100"/>
        <c:noMultiLvlLbl val="0"/>
      </c:catAx>
      <c:valAx>
        <c:axId val="2106143359"/>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106123679"/>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29004724409448818"/>
          <c:y val="7.4950893235119803E-2"/>
          <c:w val="0.29768328958880141"/>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90427-A8D0-4A8F-91C9-8321EB98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5</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Chintan</dc:creator>
  <cp:keywords/>
  <dc:description/>
  <cp:lastModifiedBy>Richa Chintan</cp:lastModifiedBy>
  <cp:revision>120</cp:revision>
  <dcterms:created xsi:type="dcterms:W3CDTF">2025-11-21T11:50:00Z</dcterms:created>
  <dcterms:modified xsi:type="dcterms:W3CDTF">2025-12-08T17:37:00Z</dcterms:modified>
</cp:coreProperties>
</file>